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20" w:rsidRDefault="00615520" w:rsidP="00754D58">
      <w:pPr>
        <w:tabs>
          <w:tab w:val="left" w:pos="1985"/>
        </w:tabs>
      </w:pPr>
    </w:p>
    <w:p w:rsidR="003559C4" w:rsidRDefault="003559C4" w:rsidP="00754D58">
      <w:pPr>
        <w:tabs>
          <w:tab w:val="left" w:pos="1985"/>
        </w:tabs>
        <w:jc w:val="center"/>
        <w:rPr>
          <w:b/>
          <w:lang w:val="en-US"/>
        </w:rPr>
      </w:pPr>
    </w:p>
    <w:p w:rsidR="003559C4" w:rsidRDefault="003559C4" w:rsidP="00754D58">
      <w:pPr>
        <w:tabs>
          <w:tab w:val="left" w:pos="1985"/>
        </w:tabs>
        <w:jc w:val="center"/>
        <w:rPr>
          <w:b/>
          <w:lang w:val="en-US"/>
        </w:rPr>
      </w:pPr>
    </w:p>
    <w:p w:rsidR="00B91682" w:rsidRDefault="00B91682" w:rsidP="00754D58">
      <w:pPr>
        <w:tabs>
          <w:tab w:val="left" w:pos="1985"/>
        </w:tabs>
        <w:jc w:val="center"/>
        <w:rPr>
          <w:b/>
          <w:lang w:val="en-US"/>
        </w:rPr>
      </w:pPr>
    </w:p>
    <w:p w:rsidR="00B91682" w:rsidRDefault="00B91682" w:rsidP="00754D58">
      <w:pPr>
        <w:tabs>
          <w:tab w:val="left" w:pos="1985"/>
        </w:tabs>
        <w:jc w:val="center"/>
        <w:rPr>
          <w:b/>
          <w:lang w:val="en-US"/>
        </w:rPr>
      </w:pPr>
    </w:p>
    <w:p w:rsidR="00B91682" w:rsidRDefault="00B91682" w:rsidP="00754D58">
      <w:pPr>
        <w:tabs>
          <w:tab w:val="left" w:pos="1985"/>
        </w:tabs>
        <w:jc w:val="center"/>
        <w:rPr>
          <w:b/>
          <w:lang w:val="en-US"/>
        </w:rPr>
      </w:pPr>
    </w:p>
    <w:p w:rsidR="00B91682" w:rsidRDefault="00B91682" w:rsidP="00754D58">
      <w:pPr>
        <w:tabs>
          <w:tab w:val="left" w:pos="1985"/>
        </w:tabs>
        <w:jc w:val="center"/>
        <w:rPr>
          <w:b/>
          <w:lang w:val="en-US"/>
        </w:rPr>
      </w:pPr>
    </w:p>
    <w:p w:rsidR="003559C4" w:rsidRDefault="003559C4" w:rsidP="00754D58">
      <w:pPr>
        <w:tabs>
          <w:tab w:val="left" w:pos="1985"/>
        </w:tabs>
        <w:jc w:val="center"/>
        <w:rPr>
          <w:b/>
          <w:lang w:val="en-US"/>
        </w:rPr>
      </w:pPr>
      <w:r>
        <w:rPr>
          <w:b/>
          <w:lang w:val="en-US"/>
        </w:rPr>
        <w:t>Progetto:</w:t>
      </w:r>
    </w:p>
    <w:p w:rsidR="00754D58" w:rsidRPr="00AD1AD8" w:rsidRDefault="00265FE4" w:rsidP="00754D58">
      <w:pPr>
        <w:tabs>
          <w:tab w:val="left" w:pos="1985"/>
        </w:tabs>
        <w:jc w:val="center"/>
        <w:rPr>
          <w:b/>
          <w:lang w:val="en-US"/>
        </w:rPr>
      </w:pPr>
      <w:r w:rsidRPr="00265FE4">
        <w:rPr>
          <w:b/>
          <w:lang w:val="en-US"/>
        </w:rPr>
        <w:t>J2E - Journey to Excellence: enhancing professional competences of VET staff in WBL</w:t>
      </w:r>
    </w:p>
    <w:p w:rsidR="003559C4" w:rsidRPr="00B91682" w:rsidRDefault="003559C4" w:rsidP="003559C4">
      <w:pPr>
        <w:tabs>
          <w:tab w:val="left" w:pos="1985"/>
        </w:tabs>
        <w:jc w:val="center"/>
        <w:rPr>
          <w:b/>
        </w:rPr>
      </w:pPr>
      <w:r w:rsidRPr="00B91682">
        <w:rPr>
          <w:b/>
        </w:rPr>
        <w:t>2018-1-IT01-KA102-006504</w:t>
      </w:r>
    </w:p>
    <w:p w:rsidR="003559C4" w:rsidRPr="00B91682" w:rsidRDefault="003559C4" w:rsidP="003559C4">
      <w:pPr>
        <w:tabs>
          <w:tab w:val="left" w:pos="1985"/>
        </w:tabs>
        <w:jc w:val="center"/>
        <w:rPr>
          <w:b/>
        </w:rPr>
      </w:pPr>
      <w:r w:rsidRPr="00B91682">
        <w:rPr>
          <w:b/>
        </w:rPr>
        <w:t>CUP G34E18000340006</w:t>
      </w:r>
    </w:p>
    <w:p w:rsidR="007D47C7" w:rsidRPr="00D46C07" w:rsidRDefault="00105122" w:rsidP="003559C4">
      <w:pPr>
        <w:tabs>
          <w:tab w:val="left" w:pos="1985"/>
        </w:tabs>
        <w:jc w:val="center"/>
        <w:rPr>
          <w:b/>
        </w:rPr>
      </w:pPr>
      <w:r w:rsidRPr="00D46C07">
        <w:rPr>
          <w:b/>
        </w:rPr>
        <w:t xml:space="preserve">BANDO DI SELEZIONE MOBILITÀ </w:t>
      </w:r>
      <w:r w:rsidR="00F50E14">
        <w:rPr>
          <w:b/>
        </w:rPr>
        <w:t>STAFF</w:t>
      </w:r>
    </w:p>
    <w:p w:rsidR="007D47C7" w:rsidRDefault="007D47C7" w:rsidP="007D47C7">
      <w:pPr>
        <w:tabs>
          <w:tab w:val="left" w:pos="1985"/>
        </w:tabs>
        <w:jc w:val="center"/>
      </w:pPr>
    </w:p>
    <w:p w:rsidR="007D47C7" w:rsidRDefault="007D47C7" w:rsidP="007D47C7">
      <w:pPr>
        <w:tabs>
          <w:tab w:val="left" w:pos="1985"/>
        </w:tabs>
        <w:jc w:val="center"/>
      </w:pPr>
      <w:r>
        <w:t>Programma ERASMUS + - Azione KA1 Mobilità Individuale ai fini dell’apprendimento – Ambito VET</w:t>
      </w:r>
    </w:p>
    <w:p w:rsidR="007D47C7" w:rsidRPr="00787DF6" w:rsidRDefault="007D47C7" w:rsidP="00960EEF">
      <w:pPr>
        <w:tabs>
          <w:tab w:val="left" w:pos="1985"/>
        </w:tabs>
        <w:jc w:val="center"/>
      </w:pPr>
      <w:r>
        <w:t>OGGETTO: Avviso per la presentazione delle candidature per la selezione del perso</w:t>
      </w:r>
      <w:r w:rsidR="00960EEF">
        <w:t>nale che parteciperà al Progett</w:t>
      </w:r>
      <w:r w:rsidR="003559C4">
        <w:t>o “</w:t>
      </w:r>
      <w:r w:rsidR="00265FE4" w:rsidRPr="00265FE4">
        <w:t xml:space="preserve">J2E - </w:t>
      </w:r>
      <w:r w:rsidR="00265FE4" w:rsidRPr="00182B84">
        <w:t xml:space="preserve">Journey to Excellence: </w:t>
      </w:r>
      <w:proofErr w:type="spellStart"/>
      <w:r w:rsidR="00265FE4" w:rsidRPr="00182B84">
        <w:t>enhancing</w:t>
      </w:r>
      <w:proofErr w:type="spellEnd"/>
      <w:r w:rsidR="00265FE4" w:rsidRPr="00182B84">
        <w:t xml:space="preserve"> </w:t>
      </w:r>
      <w:proofErr w:type="spellStart"/>
      <w:r w:rsidR="00265FE4" w:rsidRPr="00182B84">
        <w:t>professional</w:t>
      </w:r>
      <w:proofErr w:type="spellEnd"/>
      <w:r w:rsidR="00265FE4" w:rsidRPr="00182B84">
        <w:t xml:space="preserve"> </w:t>
      </w:r>
      <w:proofErr w:type="spellStart"/>
      <w:r w:rsidR="00265FE4" w:rsidRPr="00182B84">
        <w:t>competences</w:t>
      </w:r>
      <w:proofErr w:type="spellEnd"/>
      <w:r w:rsidR="00265FE4" w:rsidRPr="00182B84">
        <w:t xml:space="preserve"> of VET staff in WBL</w:t>
      </w:r>
      <w:r w:rsidR="00265FE4">
        <w:t>”</w:t>
      </w: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  <w:tab w:val="left" w:pos="5622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D47C7">
      <w:pPr>
        <w:tabs>
          <w:tab w:val="left" w:pos="1985"/>
        </w:tabs>
        <w:jc w:val="center"/>
        <w:rPr>
          <w:i/>
        </w:rPr>
      </w:pPr>
    </w:p>
    <w:p w:rsidR="007D47C7" w:rsidRDefault="007D47C7" w:rsidP="00795FE8">
      <w:pPr>
        <w:spacing w:after="240" w:line="240" w:lineRule="auto"/>
        <w:contextualSpacing/>
      </w:pPr>
      <w:r w:rsidRPr="007D47C7">
        <w:rPr>
          <w:b/>
        </w:rPr>
        <w:lastRenderedPageBreak/>
        <w:t>ENAC-Ente Nazionale Canossiano</w:t>
      </w:r>
      <w:r w:rsidR="00056BC0">
        <w:rPr>
          <w:b/>
        </w:rPr>
        <w:t>,</w:t>
      </w:r>
      <w:r w:rsidR="00265FE4">
        <w:t xml:space="preserve"> </w:t>
      </w:r>
      <w:r w:rsidRPr="007D47C7">
        <w:t xml:space="preserve">con il contributo dell’Agenzia Nazionale Erasmus+ </w:t>
      </w:r>
      <w:r w:rsidR="003559C4">
        <w:t>INAPP</w:t>
      </w:r>
      <w:r w:rsidRPr="007D47C7">
        <w:t>, promuov</w:t>
      </w:r>
      <w:r w:rsidR="00265FE4">
        <w:t>e</w:t>
      </w:r>
      <w:r w:rsidRPr="007D47C7">
        <w:t xml:space="preserve"> la partecipazione ad un’esp</w:t>
      </w:r>
      <w:r w:rsidR="003559C4">
        <w:t>erienza di mobilità all’estero.</w:t>
      </w:r>
    </w:p>
    <w:p w:rsidR="00056BC0" w:rsidRPr="007D47C7" w:rsidRDefault="00056BC0" w:rsidP="00795FE8">
      <w:pPr>
        <w:spacing w:after="240" w:line="240" w:lineRule="auto"/>
        <w:contextualSpacing/>
      </w:pPr>
    </w:p>
    <w:p w:rsidR="003559C4" w:rsidRDefault="007D47C7" w:rsidP="00795FE8">
      <w:pPr>
        <w:tabs>
          <w:tab w:val="left" w:pos="1985"/>
        </w:tabs>
        <w:spacing w:after="240" w:line="240" w:lineRule="auto"/>
        <w:contextualSpacing/>
        <w:jc w:val="both"/>
      </w:pPr>
      <w:r w:rsidRPr="007D47C7">
        <w:t xml:space="preserve">Il Progetto </w:t>
      </w:r>
      <w:r w:rsidR="00265FE4" w:rsidRPr="00265FE4">
        <w:rPr>
          <w:i/>
        </w:rPr>
        <w:t xml:space="preserve">J2E - </w:t>
      </w:r>
      <w:r w:rsidR="00265FE4" w:rsidRPr="00182B84">
        <w:rPr>
          <w:i/>
        </w:rPr>
        <w:t xml:space="preserve">Journey to Excellence: </w:t>
      </w:r>
      <w:proofErr w:type="spellStart"/>
      <w:r w:rsidR="00265FE4" w:rsidRPr="00182B84">
        <w:rPr>
          <w:i/>
        </w:rPr>
        <w:t>enhancing</w:t>
      </w:r>
      <w:proofErr w:type="spellEnd"/>
      <w:r w:rsidR="00265FE4" w:rsidRPr="00182B84">
        <w:rPr>
          <w:i/>
        </w:rPr>
        <w:t xml:space="preserve"> </w:t>
      </w:r>
      <w:proofErr w:type="spellStart"/>
      <w:r w:rsidR="00265FE4" w:rsidRPr="00182B84">
        <w:rPr>
          <w:i/>
        </w:rPr>
        <w:t>professional</w:t>
      </w:r>
      <w:proofErr w:type="spellEnd"/>
      <w:r w:rsidR="00265FE4" w:rsidRPr="00182B84">
        <w:rPr>
          <w:i/>
        </w:rPr>
        <w:t xml:space="preserve"> </w:t>
      </w:r>
      <w:proofErr w:type="spellStart"/>
      <w:r w:rsidR="00265FE4" w:rsidRPr="00182B84">
        <w:rPr>
          <w:i/>
        </w:rPr>
        <w:t>competences</w:t>
      </w:r>
      <w:proofErr w:type="spellEnd"/>
      <w:r w:rsidR="00265FE4" w:rsidRPr="00265FE4">
        <w:rPr>
          <w:i/>
        </w:rPr>
        <w:t xml:space="preserve"> of VET staff in WBL</w:t>
      </w:r>
      <w:r w:rsidR="00265FE4">
        <w:t xml:space="preserve"> </w:t>
      </w:r>
      <w:r w:rsidRPr="007D47C7">
        <w:t xml:space="preserve">si inserisce all’interno del Programma ERASMUS+, il programma dell’UE per l’Istruzione, la Formazione, la Gioventù e lo Sport. </w:t>
      </w:r>
      <w:r w:rsidR="00390C39">
        <w:t>Il Programma Erasmus+ h</w:t>
      </w:r>
      <w:r w:rsidRPr="007D47C7">
        <w:t>a tra i propri obiettivi quello di offrire opportunità di studio, formazione, esperienze lavorative o di volontariato all’estero e lo sviluppo, attraverso la cooperazione transnazionale, della qualità, dell’innovazione e della dimensione europea nel settore della Formazione Professionale contribuendo così alla promozione</w:t>
      </w:r>
      <w:r w:rsidR="00056BC0">
        <w:t xml:space="preserve"> di un’Europa delle</w:t>
      </w:r>
      <w:r w:rsidR="003559C4">
        <w:t xml:space="preserve"> conoscenze.</w:t>
      </w:r>
    </w:p>
    <w:p w:rsidR="00056BC0" w:rsidRDefault="00056BC0" w:rsidP="00795FE8">
      <w:pPr>
        <w:tabs>
          <w:tab w:val="left" w:pos="1985"/>
        </w:tabs>
        <w:spacing w:after="240" w:line="240" w:lineRule="auto"/>
        <w:contextualSpacing/>
        <w:jc w:val="both"/>
      </w:pPr>
    </w:p>
    <w:p w:rsidR="00390C39" w:rsidRDefault="003559C4" w:rsidP="00795FE8">
      <w:pPr>
        <w:tabs>
          <w:tab w:val="left" w:pos="1985"/>
        </w:tabs>
        <w:spacing w:after="240" w:line="240" w:lineRule="auto"/>
        <w:contextualSpacing/>
        <w:jc w:val="both"/>
      </w:pPr>
      <w:r>
        <w:t>La Mobilità del personale (VET Staff) consente agli esperti dell’istruzione e formazione professionale di svolgere un’esperienza formativa e lavorativa all’estero orientata al miglioramento delle loro conoscenze e competenze. Obiettivo dell’azione è, infatti, quello di favorire e promuovere l’aggiornamento e l’acquisizione di conoscenze pratiche e abilità pedagogiche dei professionisti dell’istruzione e formazione professionale in uno dei Paesi aderenti al Programma. La mobilità del personale di Erasmus+ è indirizzata a promuovere, oltre allo svilupp</w:t>
      </w:r>
      <w:r w:rsidR="00056BC0">
        <w:t>o delle competenze individuali</w:t>
      </w:r>
      <w:r>
        <w:t>, la modernizzazione e l’internazionalizzazione degli organismi in cui i partecipanti operano.</w:t>
      </w:r>
    </w:p>
    <w:p w:rsidR="00390C39" w:rsidRDefault="00390C39" w:rsidP="00795FE8">
      <w:pPr>
        <w:tabs>
          <w:tab w:val="left" w:pos="1985"/>
        </w:tabs>
        <w:spacing w:after="240" w:line="240" w:lineRule="auto"/>
        <w:contextualSpacing/>
        <w:jc w:val="both"/>
      </w:pPr>
    </w:p>
    <w:p w:rsidR="00390C39" w:rsidRPr="00390C39" w:rsidRDefault="00390C39" w:rsidP="00390C39">
      <w:pPr>
        <w:jc w:val="both"/>
      </w:pPr>
      <w:r w:rsidRPr="00390C39">
        <w:t xml:space="preserve">Il progetto J2E nasce per migliorare le competenze dello staff dei CFP canossiani nella gestione dei percorsi WBL, dando l’opportunità a 40 operatori della IeFP (formatori, tutor, coordinatori, progettisti e direttori) di confrontarsi con modelli organizzativi e didattici di altri paesi dove la formazione WBL (alternanza/apprendistato) ha ottenuto buoni risultati e ha una tradizione più consolidata. Il progetto si caratterizza come un’opportunità di crescita e un momento di orientamento strategico all’interno della sperimentazione italiana del Sistema Duale. </w:t>
      </w:r>
    </w:p>
    <w:p w:rsidR="00390C39" w:rsidRPr="00390C39" w:rsidRDefault="00390C39" w:rsidP="00390C39">
      <w:pPr>
        <w:jc w:val="both"/>
      </w:pPr>
      <w:r w:rsidRPr="00390C39">
        <w:t>L’obiettivo del progetto è supportare lo staff dei CFP partecipanti al progetto nell’elaborazione di strategie innovative per ottimizzare l'organizzazione didattica relativa al sistema duale, personalizzare i percorsi formativi WBL, investire su servizi di orientamento e placement, attività extra curriculari e di inclusione.</w:t>
      </w:r>
    </w:p>
    <w:p w:rsidR="00390C39" w:rsidRPr="00390C39" w:rsidRDefault="00390C39" w:rsidP="00390C39">
      <w:pPr>
        <w:jc w:val="both"/>
      </w:pPr>
      <w:r w:rsidRPr="00390C39">
        <w:t xml:space="preserve">Per raggiungere questi obiettivi il progetto realizzerà attività di Job </w:t>
      </w:r>
      <w:proofErr w:type="spellStart"/>
      <w:r w:rsidRPr="00390C39">
        <w:t>Shadowing</w:t>
      </w:r>
      <w:proofErr w:type="spellEnd"/>
      <w:r w:rsidRPr="00390C39">
        <w:t xml:space="preserve"> di breve durata (4/5 giorni) attorno a 3 tematiche:</w:t>
      </w:r>
    </w:p>
    <w:p w:rsidR="00390C39" w:rsidRPr="00390C39" w:rsidRDefault="00390C39" w:rsidP="00390C39">
      <w:pPr>
        <w:pStyle w:val="Paragrafoelenco"/>
        <w:numPr>
          <w:ilvl w:val="0"/>
          <w:numId w:val="10"/>
        </w:numPr>
        <w:jc w:val="both"/>
      </w:pPr>
      <w:r w:rsidRPr="00390C39">
        <w:t>Studio di modelli organizzativi e didattici di eccellenza, inclusa la didattica personalizzata, per promuovere l'apprendimento basato sul lavoro in tutte le sue forme (alternanza, apprendistato, scuola impresa)</w:t>
      </w:r>
    </w:p>
    <w:p w:rsidR="00390C39" w:rsidRPr="00390C39" w:rsidRDefault="00390C39" w:rsidP="00390C39">
      <w:pPr>
        <w:pStyle w:val="Paragrafoelenco"/>
        <w:numPr>
          <w:ilvl w:val="0"/>
          <w:numId w:val="10"/>
        </w:numPr>
        <w:jc w:val="both"/>
      </w:pPr>
      <w:r w:rsidRPr="00390C39">
        <w:t>Studio di esperienze significative (e conseguenti metodi/dispositivi/strumenti) per promuovere l’inclusione sociale e lavorativa</w:t>
      </w:r>
    </w:p>
    <w:p w:rsidR="00390C39" w:rsidRPr="00390C39" w:rsidRDefault="00390C39" w:rsidP="00390C39">
      <w:pPr>
        <w:pStyle w:val="Paragrafoelenco"/>
        <w:numPr>
          <w:ilvl w:val="0"/>
          <w:numId w:val="10"/>
        </w:numPr>
        <w:jc w:val="both"/>
      </w:pPr>
      <w:r w:rsidRPr="00390C39">
        <w:t>Utilizzo delle nuove TIC per una didattica più attiva, coinvolgente e motivante (intesa anche come ripensamento di tempi e spazi di istruzione)</w:t>
      </w:r>
    </w:p>
    <w:p w:rsidR="00390C39" w:rsidRPr="00390C39" w:rsidRDefault="00390C39" w:rsidP="00390C39">
      <w:pPr>
        <w:jc w:val="both"/>
      </w:pPr>
      <w:proofErr w:type="spellStart"/>
      <w:r w:rsidRPr="00390C39">
        <w:t>ll</w:t>
      </w:r>
      <w:proofErr w:type="spellEnd"/>
      <w:r w:rsidRPr="00390C39">
        <w:t xml:space="preserve"> partenariato estero è composto da organizzazioni che hanno adottato e sviluppato negli anni buone pratiche sulle tematiche citate. I 10 partner membri del progetto assicurano un’ampia copertura geografica (7 paesi) e consentiranno il confronto e la comprensione di pratiche, politiche e sistemi educativi e formativi differenti da quello italiano.</w:t>
      </w:r>
    </w:p>
    <w:p w:rsidR="00390C39" w:rsidRDefault="00390C39" w:rsidP="00795FE8">
      <w:pPr>
        <w:tabs>
          <w:tab w:val="left" w:pos="1985"/>
        </w:tabs>
        <w:spacing w:after="240" w:line="240" w:lineRule="auto"/>
        <w:contextualSpacing/>
        <w:jc w:val="both"/>
      </w:pPr>
    </w:p>
    <w:p w:rsidR="003559C4" w:rsidRDefault="00390C39" w:rsidP="00390C39">
      <w:r>
        <w:br w:type="page"/>
      </w:r>
    </w:p>
    <w:p w:rsidR="007D47C7" w:rsidRPr="007D47C7" w:rsidRDefault="00056BC0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>
        <w:rPr>
          <w:b/>
        </w:rPr>
        <w:lastRenderedPageBreak/>
        <w:t>Articolo 1 – Oggetto del Bando</w:t>
      </w:r>
    </w:p>
    <w:p w:rsidR="00960EEF" w:rsidRDefault="00BD18D1" w:rsidP="005554D0">
      <w:pPr>
        <w:tabs>
          <w:tab w:val="left" w:pos="1985"/>
        </w:tabs>
        <w:spacing w:after="240" w:line="240" w:lineRule="auto"/>
        <w:contextualSpacing/>
        <w:rPr>
          <w:color w:val="000000" w:themeColor="text1"/>
        </w:rPr>
      </w:pPr>
      <w:r>
        <w:t>Il presente bando è volto a</w:t>
      </w:r>
      <w:r w:rsidR="007D47C7" w:rsidRPr="007D47C7">
        <w:t xml:space="preserve"> offrire a n. </w:t>
      </w:r>
      <w:r w:rsidR="003559C4" w:rsidRPr="00BD18D1">
        <w:rPr>
          <w:b/>
        </w:rPr>
        <w:t>24</w:t>
      </w:r>
      <w:r w:rsidR="00A93C35">
        <w:rPr>
          <w:rStyle w:val="Rimandonotaapidipagina"/>
          <w:b/>
        </w:rPr>
        <w:footnoteReference w:id="1"/>
      </w:r>
      <w:r w:rsidR="00CC0263">
        <w:rPr>
          <w:b/>
        </w:rPr>
        <w:t xml:space="preserve"> </w:t>
      </w:r>
      <w:r w:rsidR="00977FCB">
        <w:rPr>
          <w:b/>
        </w:rPr>
        <w:t>figure del personale</w:t>
      </w:r>
      <w:r w:rsidR="00177B3E">
        <w:rPr>
          <w:b/>
        </w:rPr>
        <w:t xml:space="preserve"> </w:t>
      </w:r>
      <w:r w:rsidR="003559C4" w:rsidRPr="00BD18D1">
        <w:rPr>
          <w:b/>
        </w:rPr>
        <w:t>delle varie sedi associate di ENAC</w:t>
      </w:r>
      <w:r w:rsidR="003559C4" w:rsidRPr="00960EEF">
        <w:t xml:space="preserve"> </w:t>
      </w:r>
      <w:r w:rsidR="007D47C7" w:rsidRPr="007D47C7">
        <w:t xml:space="preserve">un’esperienza di mobilità all’estero della durata di </w:t>
      </w:r>
      <w:r w:rsidR="003559C4" w:rsidRPr="00BD18D1">
        <w:rPr>
          <w:b/>
        </w:rPr>
        <w:t>5</w:t>
      </w:r>
      <w:r w:rsidR="007D47C7" w:rsidRPr="00BD18D1">
        <w:rPr>
          <w:b/>
        </w:rPr>
        <w:t xml:space="preserve"> giorni</w:t>
      </w:r>
      <w:r w:rsidR="007D47C7" w:rsidRPr="0091620C">
        <w:rPr>
          <w:i/>
        </w:rPr>
        <w:t xml:space="preserve"> (</w:t>
      </w:r>
      <w:r w:rsidR="007D47C7" w:rsidRPr="00BD18D1">
        <w:t xml:space="preserve">2 di viaggio e </w:t>
      </w:r>
      <w:r w:rsidR="003559C4" w:rsidRPr="00BD18D1">
        <w:t>3</w:t>
      </w:r>
      <w:r w:rsidR="007D47C7" w:rsidRPr="00BD18D1">
        <w:rPr>
          <w:color w:val="FF0000"/>
        </w:rPr>
        <w:t xml:space="preserve"> </w:t>
      </w:r>
      <w:r w:rsidR="007D47C7" w:rsidRPr="00BD18D1">
        <w:t>di visita studio</w:t>
      </w:r>
      <w:r w:rsidR="007D47C7" w:rsidRPr="0091620C">
        <w:rPr>
          <w:i/>
        </w:rPr>
        <w:t>)</w:t>
      </w:r>
      <w:r w:rsidR="007D47C7" w:rsidRPr="0091620C">
        <w:t xml:space="preserve">. </w:t>
      </w:r>
      <w:r w:rsidR="007D47C7" w:rsidRPr="007D47C7">
        <w:rPr>
          <w:color w:val="000000" w:themeColor="text1"/>
        </w:rPr>
        <w:t xml:space="preserve">L’esperienza di mobilità si </w:t>
      </w:r>
      <w:r w:rsidR="0091620C">
        <w:rPr>
          <w:color w:val="000000" w:themeColor="text1"/>
        </w:rPr>
        <w:t>potrà svolgere</w:t>
      </w:r>
      <w:r w:rsidR="007D47C7" w:rsidRPr="007D47C7">
        <w:rPr>
          <w:color w:val="000000" w:themeColor="text1"/>
        </w:rPr>
        <w:t xml:space="preserve"> </w:t>
      </w:r>
      <w:r w:rsidR="0091620C">
        <w:rPr>
          <w:color w:val="000000" w:themeColor="text1"/>
        </w:rPr>
        <w:t>nei seguenti paesi</w:t>
      </w:r>
      <w:r>
        <w:rPr>
          <w:color w:val="000000" w:themeColor="text1"/>
        </w:rPr>
        <w:t>:</w:t>
      </w:r>
    </w:p>
    <w:p w:rsidR="00056BC0" w:rsidRDefault="00056BC0" w:rsidP="00795FE8">
      <w:pPr>
        <w:tabs>
          <w:tab w:val="left" w:pos="1985"/>
        </w:tabs>
        <w:spacing w:after="240" w:line="240" w:lineRule="auto"/>
        <w:contextualSpacing/>
        <w:jc w:val="both"/>
        <w:rPr>
          <w:color w:val="FF000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379"/>
        <w:gridCol w:w="1523"/>
        <w:gridCol w:w="1947"/>
        <w:gridCol w:w="2058"/>
        <w:gridCol w:w="1840"/>
      </w:tblGrid>
      <w:tr w:rsidR="00B91682" w:rsidTr="00B91682">
        <w:tc>
          <w:tcPr>
            <w:tcW w:w="2379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b/>
              </w:rPr>
            </w:pPr>
            <w:r w:rsidRPr="00B91682">
              <w:rPr>
                <w:b/>
              </w:rPr>
              <w:t>Ente</w:t>
            </w:r>
            <w:r w:rsidR="00BD18D1">
              <w:rPr>
                <w:b/>
              </w:rPr>
              <w:t xml:space="preserve"> ospitante</w:t>
            </w:r>
            <w:r w:rsidR="00182B84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523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b/>
              </w:rPr>
            </w:pPr>
            <w:r w:rsidRPr="00B91682">
              <w:rPr>
                <w:b/>
              </w:rPr>
              <w:t>Paese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b/>
              </w:rPr>
            </w:pPr>
            <w:r w:rsidRPr="00B91682">
              <w:rPr>
                <w:b/>
              </w:rPr>
              <w:t>Città</w:t>
            </w:r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b/>
              </w:rPr>
            </w:pPr>
            <w:r w:rsidRPr="00B91682">
              <w:rPr>
                <w:b/>
              </w:rPr>
              <w:t>Periodo</w:t>
            </w:r>
            <w:r w:rsidR="003F0EB1">
              <w:rPr>
                <w:b/>
              </w:rPr>
              <w:t xml:space="preserve"> indicativo</w:t>
            </w:r>
          </w:p>
        </w:tc>
        <w:tc>
          <w:tcPr>
            <w:tcW w:w="1840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b/>
              </w:rPr>
            </w:pPr>
            <w:r>
              <w:rPr>
                <w:b/>
              </w:rPr>
              <w:t>N° borse</w:t>
            </w:r>
          </w:p>
        </w:tc>
      </w:tr>
      <w:tr w:rsidR="00B91682" w:rsidTr="00B91682">
        <w:tc>
          <w:tcPr>
            <w:tcW w:w="2379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proofErr w:type="spellStart"/>
            <w:r w:rsidRPr="00B91682">
              <w:t>Friesland</w:t>
            </w:r>
            <w:proofErr w:type="spellEnd"/>
            <w:r w:rsidRPr="00B91682">
              <w:t xml:space="preserve"> College</w:t>
            </w:r>
          </w:p>
        </w:tc>
        <w:tc>
          <w:tcPr>
            <w:tcW w:w="1523" w:type="dxa"/>
          </w:tcPr>
          <w:p w:rsidR="00B91682" w:rsidRPr="00B91682" w:rsidRDefault="007A4FE6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Paesi Bassi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proofErr w:type="spellStart"/>
            <w:r w:rsidRPr="00B91682">
              <w:t>Leeuwarden</w:t>
            </w:r>
            <w:proofErr w:type="spellEnd"/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>
              <w:t>Marzo 2019</w:t>
            </w:r>
          </w:p>
        </w:tc>
        <w:tc>
          <w:tcPr>
            <w:tcW w:w="1840" w:type="dxa"/>
          </w:tcPr>
          <w:p w:rsid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</w:pPr>
            <w:r>
              <w:t>2</w:t>
            </w:r>
          </w:p>
        </w:tc>
      </w:tr>
      <w:tr w:rsidR="00B91682" w:rsidTr="00B91682">
        <w:tc>
          <w:tcPr>
            <w:tcW w:w="2379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Omnia</w:t>
            </w:r>
          </w:p>
        </w:tc>
        <w:tc>
          <w:tcPr>
            <w:tcW w:w="1523" w:type="dxa"/>
          </w:tcPr>
          <w:p w:rsidR="00B91682" w:rsidRPr="00B91682" w:rsidRDefault="007A4FE6" w:rsidP="007A4FE6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 xml:space="preserve">Finlandia 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Espoo</w:t>
            </w:r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>
              <w:t>Marzo/Aprile 2019</w:t>
            </w:r>
          </w:p>
        </w:tc>
        <w:tc>
          <w:tcPr>
            <w:tcW w:w="1840" w:type="dxa"/>
          </w:tcPr>
          <w:p w:rsid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</w:pPr>
            <w:r>
              <w:t>5</w:t>
            </w:r>
          </w:p>
        </w:tc>
      </w:tr>
      <w:tr w:rsidR="00B91682" w:rsidTr="00B91682">
        <w:tc>
          <w:tcPr>
            <w:tcW w:w="2379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r w:rsidRPr="00B91682">
              <w:rPr>
                <w:lang w:val="en-US"/>
              </w:rPr>
              <w:t>Koning Willem College</w:t>
            </w:r>
          </w:p>
        </w:tc>
        <w:tc>
          <w:tcPr>
            <w:tcW w:w="1523" w:type="dxa"/>
          </w:tcPr>
          <w:p w:rsidR="00B91682" w:rsidRPr="00B91682" w:rsidRDefault="007A4FE6" w:rsidP="007A4FE6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Paesi Bassi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r w:rsidRPr="00B91682">
              <w:rPr>
                <w:lang w:val="en-US"/>
              </w:rPr>
              <w:t>'S Hertogenbosch</w:t>
            </w:r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Maggio 2019</w:t>
            </w:r>
          </w:p>
        </w:tc>
        <w:tc>
          <w:tcPr>
            <w:tcW w:w="1840" w:type="dxa"/>
          </w:tcPr>
          <w:p w:rsid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91682" w:rsidTr="00B91682">
        <w:tc>
          <w:tcPr>
            <w:tcW w:w="2379" w:type="dxa"/>
          </w:tcPr>
          <w:p w:rsidR="00B91682" w:rsidRPr="00B91682" w:rsidRDefault="00E030F6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Green Academy</w:t>
            </w:r>
          </w:p>
        </w:tc>
        <w:tc>
          <w:tcPr>
            <w:tcW w:w="1523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>Danimarca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proofErr w:type="spellStart"/>
            <w:r w:rsidRPr="00B91682">
              <w:t>Beder</w:t>
            </w:r>
            <w:proofErr w:type="spellEnd"/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</w:pPr>
            <w:r>
              <w:t>Giugno 2019</w:t>
            </w:r>
          </w:p>
        </w:tc>
        <w:tc>
          <w:tcPr>
            <w:tcW w:w="1840" w:type="dxa"/>
          </w:tcPr>
          <w:p w:rsid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</w:pPr>
            <w:r>
              <w:t>5</w:t>
            </w:r>
          </w:p>
        </w:tc>
      </w:tr>
      <w:tr w:rsidR="00B91682" w:rsidRPr="00960EEF" w:rsidTr="00B91682">
        <w:tc>
          <w:tcPr>
            <w:tcW w:w="2379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r w:rsidRPr="00B91682">
              <w:rPr>
                <w:lang w:val="en-US"/>
              </w:rPr>
              <w:t>City of Glasgow College</w:t>
            </w:r>
          </w:p>
        </w:tc>
        <w:tc>
          <w:tcPr>
            <w:tcW w:w="1523" w:type="dxa"/>
          </w:tcPr>
          <w:p w:rsidR="00B91682" w:rsidRPr="00B91682" w:rsidRDefault="007A4FE6" w:rsidP="007A4FE6">
            <w:pPr>
              <w:tabs>
                <w:tab w:val="left" w:pos="1985"/>
              </w:tabs>
              <w:spacing w:after="240"/>
              <w:contextualSpacing/>
              <w:jc w:val="both"/>
            </w:pPr>
            <w:r w:rsidRPr="00B91682">
              <w:t xml:space="preserve">Regno Unito </w:t>
            </w:r>
          </w:p>
        </w:tc>
        <w:tc>
          <w:tcPr>
            <w:tcW w:w="1947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r w:rsidRPr="00B91682">
              <w:rPr>
                <w:lang w:val="en-US"/>
              </w:rPr>
              <w:t>Glasgow</w:t>
            </w:r>
          </w:p>
        </w:tc>
        <w:tc>
          <w:tcPr>
            <w:tcW w:w="2058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both"/>
              <w:rPr>
                <w:lang w:val="en-US"/>
              </w:rPr>
            </w:pPr>
            <w:proofErr w:type="spellStart"/>
            <w:r w:rsidRPr="00B91682">
              <w:rPr>
                <w:lang w:val="en-US"/>
              </w:rPr>
              <w:t>Settembre</w:t>
            </w:r>
            <w:proofErr w:type="spellEnd"/>
            <w:r w:rsidRPr="00B91682">
              <w:rPr>
                <w:lang w:val="en-US"/>
              </w:rPr>
              <w:t xml:space="preserve"> 2019</w:t>
            </w:r>
          </w:p>
        </w:tc>
        <w:tc>
          <w:tcPr>
            <w:tcW w:w="1840" w:type="dxa"/>
          </w:tcPr>
          <w:p w:rsidR="00B91682" w:rsidRPr="00B91682" w:rsidRDefault="00B91682" w:rsidP="00795FE8">
            <w:pPr>
              <w:tabs>
                <w:tab w:val="left" w:pos="1985"/>
              </w:tabs>
              <w:spacing w:after="24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</w:p>
    <w:p w:rsidR="00960EEF" w:rsidRPr="00D2056E" w:rsidRDefault="00960EEF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 w:rsidRPr="00D2056E">
        <w:rPr>
          <w:b/>
        </w:rPr>
        <w:t xml:space="preserve">Articolo 2 – Programma delle attività </w:t>
      </w:r>
    </w:p>
    <w:p w:rsidR="005E1B7E" w:rsidRDefault="00B91682" w:rsidP="00795FE8">
      <w:pPr>
        <w:tabs>
          <w:tab w:val="left" w:pos="1985"/>
        </w:tabs>
        <w:spacing w:after="240" w:line="240" w:lineRule="auto"/>
        <w:contextualSpacing/>
        <w:jc w:val="both"/>
      </w:pPr>
      <w:r w:rsidRPr="00B91682">
        <w:t xml:space="preserve">Trattandosi di brevi periodi di mobilità (3-5 giorni), </w:t>
      </w:r>
      <w:r w:rsidR="005E1B7E">
        <w:t xml:space="preserve">saranno proposte </w:t>
      </w:r>
      <w:r w:rsidR="005E1B7E" w:rsidRPr="00B91682">
        <w:t xml:space="preserve">esperienze di job </w:t>
      </w:r>
      <w:proofErr w:type="spellStart"/>
      <w:r w:rsidR="005E1B7E" w:rsidRPr="00B91682">
        <w:t>shadowing</w:t>
      </w:r>
      <w:proofErr w:type="spellEnd"/>
      <w:r w:rsidR="005E1B7E">
        <w:t xml:space="preserve"> atte </w:t>
      </w:r>
      <w:proofErr w:type="gramStart"/>
      <w:r w:rsidR="005E1B7E">
        <w:t xml:space="preserve">ad  </w:t>
      </w:r>
      <w:r w:rsidRPr="00B91682">
        <w:t>approfondi</w:t>
      </w:r>
      <w:r w:rsidR="005E1B7E">
        <w:t>re</w:t>
      </w:r>
      <w:proofErr w:type="gramEnd"/>
      <w:r w:rsidR="005E1B7E">
        <w:t xml:space="preserve"> </w:t>
      </w:r>
      <w:r w:rsidRPr="00B91682">
        <w:t>conoscenze e svilupp</w:t>
      </w:r>
      <w:r w:rsidR="005E1B7E">
        <w:t xml:space="preserve">are </w:t>
      </w:r>
      <w:r w:rsidRPr="00B91682">
        <w:t>abilità</w:t>
      </w:r>
      <w:r w:rsidR="005E1B7E">
        <w:t xml:space="preserve"> in tre macro aree:</w:t>
      </w:r>
    </w:p>
    <w:p w:rsidR="00E030F6" w:rsidRDefault="00E030F6" w:rsidP="00A93C35">
      <w:pPr>
        <w:pStyle w:val="Paragrafoelenco"/>
        <w:numPr>
          <w:ilvl w:val="0"/>
          <w:numId w:val="7"/>
        </w:numPr>
        <w:tabs>
          <w:tab w:val="left" w:pos="1985"/>
        </w:tabs>
        <w:spacing w:after="240" w:line="240" w:lineRule="auto"/>
        <w:jc w:val="both"/>
      </w:pPr>
      <w:r w:rsidRPr="005E1B7E">
        <w:t>Modelli organizzativi e didattici</w:t>
      </w:r>
      <w:r>
        <w:t xml:space="preserve"> di eccellenza per promuovere l’</w:t>
      </w:r>
      <w:r w:rsidRPr="005E1B7E">
        <w:t>apprendimento basato sul lavoro in tutte le sue forme (dall’alternanza alle esperienze di apprendistato alla scuola impresa).</w:t>
      </w:r>
      <w:r w:rsidR="00A93C35">
        <w:t xml:space="preserve"> </w:t>
      </w:r>
      <w:r w:rsidR="00A93C35" w:rsidRPr="00A93C35">
        <w:t>In questa area rientra anche la tematica dell’organizzazione del personale nella gestione della didattica e nel rapporto con le aziende, modelli di didattica personalizzata e lo studio di modelli organizzativi significativi.</w:t>
      </w:r>
    </w:p>
    <w:p w:rsidR="005E1B7E" w:rsidRDefault="005E1B7E" w:rsidP="00795FE8">
      <w:pPr>
        <w:pStyle w:val="Paragrafoelenco"/>
        <w:numPr>
          <w:ilvl w:val="0"/>
          <w:numId w:val="7"/>
        </w:numPr>
        <w:tabs>
          <w:tab w:val="left" w:pos="1985"/>
        </w:tabs>
        <w:spacing w:after="240" w:line="240" w:lineRule="auto"/>
        <w:jc w:val="both"/>
      </w:pPr>
      <w:r w:rsidRPr="005E1B7E">
        <w:t>Inclusione e integrazione delle fasce più deboli: questioni legate alla diversità e alla promozione – mediante approcci integrati innovativi – di valori condivisi, dell’uguaglianza (compresa la parità tra i sessi), la non discriminazione e l’inclusione sociale, in particolare favorendo lo sviluppo di competenze sociali, civili e interculturali, il pensiero critico, per contrastare la discriminazione.</w:t>
      </w:r>
    </w:p>
    <w:p w:rsidR="005E1B7E" w:rsidRDefault="005E1B7E" w:rsidP="00795FE8">
      <w:pPr>
        <w:pStyle w:val="Paragrafoelenco"/>
        <w:numPr>
          <w:ilvl w:val="0"/>
          <w:numId w:val="7"/>
        </w:numPr>
        <w:tabs>
          <w:tab w:val="left" w:pos="1985"/>
        </w:tabs>
        <w:spacing w:after="240" w:line="240" w:lineRule="auto"/>
        <w:jc w:val="both"/>
      </w:pPr>
      <w:r w:rsidRPr="005E1B7E">
        <w:t>Utilizzo delle nuove Tecnologie nella gestione della scuola e nella didattica, per migliorare l’efficienza dell’organizzazione e la comunicazione verso il personale, gli utenti e le famiglie. Le TIC per una didattica più attiva, coinvolgente e motivante (intesa anche come ripensamento di tempi e spazi di istruzione).</w:t>
      </w:r>
    </w:p>
    <w:p w:rsidR="007D47C7" w:rsidRDefault="007D47C7" w:rsidP="00795FE8">
      <w:pPr>
        <w:tabs>
          <w:tab w:val="left" w:pos="1985"/>
        </w:tabs>
        <w:spacing w:after="240" w:line="240" w:lineRule="auto"/>
        <w:contextualSpacing/>
        <w:jc w:val="both"/>
      </w:pPr>
      <w:r w:rsidRPr="007D47C7">
        <w:t xml:space="preserve">Le attività </w:t>
      </w:r>
      <w:r w:rsidR="005E1B7E">
        <w:t>saranno</w:t>
      </w:r>
      <w:r w:rsidRPr="007D47C7">
        <w:t xml:space="preserve"> definite all’interno di uno specifico documento (</w:t>
      </w:r>
      <w:r w:rsidR="00BD18D1">
        <w:t>Work</w:t>
      </w:r>
      <w:r w:rsidRPr="007D47C7">
        <w:t xml:space="preserve"> </w:t>
      </w:r>
      <w:proofErr w:type="spellStart"/>
      <w:r w:rsidRPr="007D47C7">
        <w:t>Programme</w:t>
      </w:r>
      <w:proofErr w:type="spellEnd"/>
      <w:r w:rsidRPr="007D47C7">
        <w:t>), a seguito di una pe</w:t>
      </w:r>
      <w:r w:rsidR="009F2FE5">
        <w:t>rsonalizzazione del programma</w:t>
      </w:r>
      <w:r w:rsidRPr="007D47C7">
        <w:t>, che valorizzerà lo sviluppo professionale del candidato, compatibilmente</w:t>
      </w:r>
      <w:r>
        <w:t xml:space="preserve"> con le opportunità individuate dalle organizzazioni ospitanti.</w:t>
      </w:r>
    </w:p>
    <w:p w:rsidR="00795FE8" w:rsidRDefault="00795FE8" w:rsidP="00795FE8">
      <w:pPr>
        <w:tabs>
          <w:tab w:val="left" w:pos="1985"/>
        </w:tabs>
        <w:spacing w:after="240" w:line="240" w:lineRule="auto"/>
        <w:contextualSpacing/>
        <w:jc w:val="both"/>
      </w:pPr>
    </w:p>
    <w:p w:rsidR="00AD3414" w:rsidRPr="00D46C07" w:rsidRDefault="006714E8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 w:rsidRPr="00D46C07">
        <w:rPr>
          <w:b/>
        </w:rPr>
        <w:t xml:space="preserve">Articolo </w:t>
      </w:r>
      <w:r w:rsidR="00960EEF">
        <w:rPr>
          <w:b/>
        </w:rPr>
        <w:t>3</w:t>
      </w:r>
      <w:r w:rsidRPr="00D46C07">
        <w:rPr>
          <w:b/>
        </w:rPr>
        <w:t xml:space="preserve"> – Requisiti di </w:t>
      </w:r>
      <w:r w:rsidR="00960EEF" w:rsidRPr="00D2056E">
        <w:rPr>
          <w:b/>
        </w:rPr>
        <w:t>ammissibilità</w:t>
      </w:r>
    </w:p>
    <w:p w:rsidR="007D47C7" w:rsidRDefault="00D9664F" w:rsidP="00795FE8">
      <w:pPr>
        <w:spacing w:after="240" w:line="240" w:lineRule="auto"/>
        <w:contextualSpacing/>
        <w:jc w:val="both"/>
      </w:pPr>
      <w:r>
        <w:t>Può</w:t>
      </w:r>
      <w:r w:rsidR="007D47C7" w:rsidRPr="009E5F8F">
        <w:t xml:space="preserve"> partecipare al progetto</w:t>
      </w:r>
      <w:r w:rsidR="0091620C">
        <w:t xml:space="preserve"> </w:t>
      </w:r>
      <w:r w:rsidR="00977FCB">
        <w:t>lo staff</w:t>
      </w:r>
      <w:r w:rsidR="00977FCB">
        <w:rPr>
          <w:rStyle w:val="Rimandonotaapidipagina"/>
        </w:rPr>
        <w:footnoteReference w:id="3"/>
      </w:r>
      <w:r w:rsidR="0091620C" w:rsidRPr="0091620C">
        <w:t xml:space="preserve"> </w:t>
      </w:r>
      <w:r w:rsidR="00A93C35">
        <w:t>delle sedi formative</w:t>
      </w:r>
      <w:r w:rsidR="0091620C">
        <w:t xml:space="preserve"> associat</w:t>
      </w:r>
      <w:r w:rsidR="00A93C35">
        <w:t>e</w:t>
      </w:r>
      <w:r w:rsidR="00265FE4">
        <w:t xml:space="preserve"> all’Ente Nazionale Canossiano</w:t>
      </w:r>
      <w:r w:rsidR="0091620C">
        <w:t xml:space="preserve">. Possono essere coinvolti </w:t>
      </w:r>
      <w:r w:rsidR="007D47C7" w:rsidRPr="009E5F8F">
        <w:t xml:space="preserve">insegnanti, tutor, coordinatori, direttori e ogni figura coinvolta nello sviluppo e miglioramento di </w:t>
      </w:r>
      <w:r w:rsidR="0091620C">
        <w:t>nuove pratiche nel settore IeFP.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Indicativamente, per il 2019 sono state allocate: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n. 7 borse di mobilità per Fondazione ENAC Veneto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n. 6 borse di mobilità per Fondazione ENAC Lombardia CFP Canossa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n. 4 borse di mobilità per ENAC-Ente Nazionale Canossiano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n. 4 borse di mobilità per ENAC Puglia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n. 2 borse di mobilità per il Centro Moda Canossa</w:t>
      </w:r>
    </w:p>
    <w:p w:rsidR="00056BC0" w:rsidRDefault="00056BC0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 xml:space="preserve">n. 1 borsa di mobilità per ENAC </w:t>
      </w:r>
      <w:proofErr w:type="gramStart"/>
      <w:r>
        <w:t>Emilia Romagna</w:t>
      </w:r>
      <w:proofErr w:type="gramEnd"/>
    </w:p>
    <w:p w:rsidR="00D640F3" w:rsidRDefault="00D640F3" w:rsidP="00056BC0">
      <w:pPr>
        <w:tabs>
          <w:tab w:val="left" w:pos="1985"/>
        </w:tabs>
        <w:spacing w:after="240" w:line="240" w:lineRule="auto"/>
        <w:contextualSpacing/>
        <w:jc w:val="both"/>
      </w:pPr>
      <w:r>
        <w:t>Eventuali po</w:t>
      </w:r>
      <w:r w:rsidR="003F0EB1">
        <w:t>sti vacanti saranno riassegnati anche ad altre sedi ENAC.</w:t>
      </w:r>
    </w:p>
    <w:p w:rsidR="00795FE8" w:rsidRPr="009E5F8F" w:rsidRDefault="00795FE8" w:rsidP="00795FE8">
      <w:pPr>
        <w:spacing w:after="240" w:line="240" w:lineRule="auto"/>
        <w:contextualSpacing/>
        <w:jc w:val="both"/>
      </w:pPr>
    </w:p>
    <w:p w:rsidR="006714E8" w:rsidRPr="00D46C07" w:rsidRDefault="006714E8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 w:rsidRPr="00D46C07">
        <w:rPr>
          <w:b/>
        </w:rPr>
        <w:t xml:space="preserve">Articolo </w:t>
      </w:r>
      <w:r w:rsidR="00960EEF">
        <w:rPr>
          <w:b/>
        </w:rPr>
        <w:t>4</w:t>
      </w:r>
      <w:r w:rsidRPr="00D46C07">
        <w:rPr>
          <w:b/>
        </w:rPr>
        <w:t xml:space="preserve"> – Modalità di candidatura</w:t>
      </w:r>
    </w:p>
    <w:p w:rsidR="007D47C7" w:rsidRPr="00BD18D1" w:rsidRDefault="007D47C7" w:rsidP="00795FE8">
      <w:pPr>
        <w:tabs>
          <w:tab w:val="left" w:pos="1985"/>
        </w:tabs>
        <w:spacing w:after="240" w:line="240" w:lineRule="auto"/>
        <w:contextualSpacing/>
        <w:jc w:val="both"/>
      </w:pPr>
      <w:r>
        <w:t xml:space="preserve">Il personale </w:t>
      </w:r>
      <w:r w:rsidRPr="007D47C7">
        <w:t>che volesse partecipare alla mobilità dev</w:t>
      </w:r>
      <w:r>
        <w:t>e</w:t>
      </w:r>
      <w:r w:rsidRPr="007D47C7">
        <w:t xml:space="preserve"> compi</w:t>
      </w:r>
      <w:r w:rsidR="00960EEF">
        <w:t xml:space="preserve">lare la </w:t>
      </w:r>
      <w:hyperlink r:id="rId8" w:history="1">
        <w:r w:rsidR="00960EEF" w:rsidRPr="007955E5">
          <w:rPr>
            <w:rStyle w:val="Collegamentoipertestuale"/>
          </w:rPr>
          <w:t>Domanda di Candidatura</w:t>
        </w:r>
        <w:r w:rsidRPr="007955E5">
          <w:rPr>
            <w:rStyle w:val="Collegamentoipertestuale"/>
          </w:rPr>
          <w:t xml:space="preserve"> </w:t>
        </w:r>
        <w:r w:rsidR="00056BC0" w:rsidRPr="007955E5">
          <w:rPr>
            <w:rStyle w:val="Collegamentoipertestuale"/>
          </w:rPr>
          <w:t>online</w:t>
        </w:r>
      </w:hyperlink>
      <w:r w:rsidR="00D9664F">
        <w:t>, stamparla, firmarla e</w:t>
      </w:r>
      <w:r w:rsidR="00056BC0">
        <w:t xml:space="preserve"> presenta</w:t>
      </w:r>
      <w:r w:rsidR="00D9664F">
        <w:t>rla</w:t>
      </w:r>
      <w:r w:rsidR="00D9664F" w:rsidRPr="00D9664F">
        <w:t xml:space="preserve"> </w:t>
      </w:r>
      <w:r w:rsidR="00D9664F">
        <w:t xml:space="preserve">insieme agli allegati richiesti </w:t>
      </w:r>
      <w:r w:rsidRPr="007D47C7">
        <w:t>a</w:t>
      </w:r>
      <w:r w:rsidR="00DE32E9">
        <w:t>l</w:t>
      </w:r>
      <w:r w:rsidRPr="007D47C7">
        <w:t>l</w:t>
      </w:r>
      <w:r w:rsidR="00DE32E9">
        <w:t xml:space="preserve">a Direzione Generale </w:t>
      </w:r>
      <w:r w:rsidR="009E0B6A">
        <w:t>(mail: direzione@cfpcanossa.it)</w:t>
      </w:r>
      <w:r w:rsidR="00D9664F">
        <w:t>.</w:t>
      </w:r>
      <w:r w:rsidRPr="007D47C7">
        <w:rPr>
          <w:color w:val="FF0000"/>
        </w:rPr>
        <w:t xml:space="preserve"> </w:t>
      </w:r>
      <w:r w:rsidRPr="007D47C7">
        <w:t>Il termine ultimo per la presentazione della candidatura è</w:t>
      </w:r>
      <w:r w:rsidR="00D9664F">
        <w:t xml:space="preserve"> il</w:t>
      </w:r>
      <w:r w:rsidRPr="007D47C7">
        <w:t xml:space="preserve"> </w:t>
      </w:r>
      <w:r w:rsidR="00056BC0" w:rsidRPr="00BD18D1">
        <w:rPr>
          <w:b/>
        </w:rPr>
        <w:t>7 gennaio 2019</w:t>
      </w:r>
      <w:r w:rsidR="00960EEF" w:rsidRPr="00BD18D1">
        <w:t>.</w:t>
      </w:r>
    </w:p>
    <w:p w:rsidR="0091620C" w:rsidRPr="0091620C" w:rsidRDefault="0091620C" w:rsidP="00795FE8">
      <w:pPr>
        <w:tabs>
          <w:tab w:val="left" w:pos="1985"/>
        </w:tabs>
        <w:spacing w:after="240" w:line="240" w:lineRule="auto"/>
        <w:contextualSpacing/>
      </w:pPr>
      <w:r w:rsidRPr="0091620C">
        <w:t xml:space="preserve">La domanda di candidatura deve essere datata e firmata in originale </w:t>
      </w:r>
      <w:r w:rsidR="00D9664F">
        <w:t>corredata</w:t>
      </w:r>
      <w:r w:rsidRPr="0091620C">
        <w:t xml:space="preserve"> dalla documen</w:t>
      </w:r>
      <w:r w:rsidR="00CC0263">
        <w:t>tazione di seguito specificata:</w:t>
      </w:r>
    </w:p>
    <w:p w:rsidR="00D9664F" w:rsidRDefault="007D47C7" w:rsidP="00795FE8">
      <w:pPr>
        <w:pStyle w:val="Paragrafoelenco"/>
        <w:numPr>
          <w:ilvl w:val="0"/>
          <w:numId w:val="3"/>
        </w:numPr>
        <w:tabs>
          <w:tab w:val="left" w:pos="1985"/>
        </w:tabs>
        <w:spacing w:after="240" w:line="240" w:lineRule="auto"/>
      </w:pPr>
      <w:r w:rsidRPr="007D47C7">
        <w:t>Curriculum vitae Formato Europass compilato in lingua inglese</w:t>
      </w:r>
    </w:p>
    <w:p w:rsidR="00D9664F" w:rsidRPr="007D47C7" w:rsidRDefault="00D9664F" w:rsidP="00D9664F">
      <w:pPr>
        <w:pStyle w:val="Paragrafoelenco"/>
        <w:numPr>
          <w:ilvl w:val="0"/>
          <w:numId w:val="3"/>
        </w:numPr>
        <w:tabs>
          <w:tab w:val="left" w:pos="1985"/>
        </w:tabs>
        <w:spacing w:after="240" w:line="240" w:lineRule="auto"/>
      </w:pPr>
      <w:r>
        <w:t>Certificato di lingua/</w:t>
      </w:r>
      <w:hyperlink r:id="rId9" w:history="1">
        <w:r w:rsidR="007D47C7" w:rsidRPr="00BD18D1">
          <w:rPr>
            <w:rStyle w:val="Collegamentoipertestuale"/>
          </w:rPr>
          <w:t>Passaporto Europeo delle Lingue</w:t>
        </w:r>
      </w:hyperlink>
      <w:r w:rsidR="00977FCB">
        <w:rPr>
          <w:rStyle w:val="Collegamentoipertestuale"/>
        </w:rPr>
        <w:t xml:space="preserve"> (in italiano)</w:t>
      </w:r>
    </w:p>
    <w:p w:rsidR="007D47C7" w:rsidRPr="007D47C7" w:rsidRDefault="007D47C7" w:rsidP="00795FE8">
      <w:pPr>
        <w:pStyle w:val="Paragrafoelenco"/>
        <w:numPr>
          <w:ilvl w:val="0"/>
          <w:numId w:val="3"/>
        </w:numPr>
        <w:tabs>
          <w:tab w:val="left" w:pos="1985"/>
        </w:tabs>
        <w:spacing w:after="240" w:line="240" w:lineRule="auto"/>
      </w:pPr>
      <w:r w:rsidRPr="007D47C7">
        <w:t xml:space="preserve">Copia del passaporto o della carta </w:t>
      </w:r>
      <w:r w:rsidR="00BD18D1">
        <w:t>d’identità in corso di validità</w:t>
      </w:r>
    </w:p>
    <w:p w:rsidR="007D47C7" w:rsidRPr="007D47C7" w:rsidRDefault="007D47C7" w:rsidP="00795FE8">
      <w:pPr>
        <w:pStyle w:val="Paragrafoelenco"/>
        <w:numPr>
          <w:ilvl w:val="0"/>
          <w:numId w:val="3"/>
        </w:numPr>
        <w:tabs>
          <w:tab w:val="left" w:pos="1985"/>
        </w:tabs>
        <w:spacing w:after="240" w:line="240" w:lineRule="auto"/>
      </w:pPr>
      <w:r w:rsidRPr="007D47C7">
        <w:t>Copia tessera sanitaria europea</w:t>
      </w:r>
    </w:p>
    <w:p w:rsidR="007D47C7" w:rsidRDefault="007D47C7" w:rsidP="00795FE8">
      <w:pPr>
        <w:tabs>
          <w:tab w:val="left" w:pos="1985"/>
        </w:tabs>
        <w:spacing w:after="240" w:line="240" w:lineRule="auto"/>
        <w:contextualSpacing/>
        <w:jc w:val="both"/>
      </w:pPr>
      <w:r w:rsidRPr="007D47C7">
        <w:t>Si raccomanda di indicare sulla scheda di candidatura un indirizzo e-mail valido, che il candidato controlla regolarmente, poiché tutte le comunicazioni avvengono esclus</w:t>
      </w:r>
      <w:r>
        <w:t>ivamente via posta elettronica.</w:t>
      </w:r>
    </w:p>
    <w:p w:rsidR="00795FE8" w:rsidRPr="00976FD8" w:rsidRDefault="00795FE8" w:rsidP="00795FE8">
      <w:pPr>
        <w:tabs>
          <w:tab w:val="left" w:pos="1985"/>
        </w:tabs>
        <w:spacing w:after="240" w:line="240" w:lineRule="auto"/>
        <w:contextualSpacing/>
        <w:jc w:val="both"/>
      </w:pPr>
    </w:p>
    <w:p w:rsidR="006714E8" w:rsidRDefault="006714E8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 w:rsidRPr="00D46C07">
        <w:rPr>
          <w:b/>
        </w:rPr>
        <w:t xml:space="preserve">Articolo </w:t>
      </w:r>
      <w:r w:rsidR="00960EEF">
        <w:rPr>
          <w:b/>
        </w:rPr>
        <w:t>5</w:t>
      </w:r>
      <w:r w:rsidRPr="00D46C07">
        <w:rPr>
          <w:b/>
        </w:rPr>
        <w:t xml:space="preserve"> – Criteri e modalità di selezione </w:t>
      </w:r>
      <w:r w:rsidR="005E1B7E" w:rsidRPr="00D2056E">
        <w:rPr>
          <w:b/>
        </w:rPr>
        <w:t>e formulazione delle graduatorie</w:t>
      </w:r>
    </w:p>
    <w:p w:rsidR="005E1B7E" w:rsidRPr="00D9664F" w:rsidRDefault="005E1B7E" w:rsidP="003F0EB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hAnsi="Calibri" w:cs="Calibri"/>
        </w:rPr>
      </w:pPr>
      <w:r w:rsidRPr="00D9664F">
        <w:rPr>
          <w:rFonts w:ascii="Calibri" w:hAnsi="Calibri" w:cs="Calibri"/>
        </w:rPr>
        <w:t>Le sedi</w:t>
      </w:r>
      <w:r w:rsidR="00795FE8" w:rsidRPr="00D9664F">
        <w:rPr>
          <w:rFonts w:ascii="Calibri" w:hAnsi="Calibri" w:cs="Calibri"/>
        </w:rPr>
        <w:t xml:space="preserve"> avranno il compito di </w:t>
      </w:r>
      <w:r w:rsidRPr="00D9664F">
        <w:rPr>
          <w:rFonts w:ascii="Calibri" w:hAnsi="Calibri" w:cs="Calibri"/>
        </w:rPr>
        <w:t xml:space="preserve">pubblicizzare l’iniziativa al fine </w:t>
      </w:r>
      <w:r w:rsidR="003F0EB1">
        <w:rPr>
          <w:rFonts w:ascii="Calibri" w:hAnsi="Calibri" w:cs="Calibri"/>
        </w:rPr>
        <w:t>di raccogliere le candidature ed effettuare la prima fase di selezione de</w:t>
      </w:r>
      <w:r w:rsidR="00795FE8" w:rsidRPr="00D9664F">
        <w:rPr>
          <w:rFonts w:ascii="Calibri" w:hAnsi="Calibri" w:cs="Calibri"/>
        </w:rPr>
        <w:t>i partecipanti.</w:t>
      </w:r>
    </w:p>
    <w:p w:rsidR="003F0EB1" w:rsidRDefault="00D9664F" w:rsidP="003F0EB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szCs w:val="20"/>
        </w:rPr>
      </w:pPr>
      <w:bookmarkStart w:id="0" w:name="_GoBack"/>
      <w:r w:rsidRPr="00D9664F">
        <w:rPr>
          <w:rFonts w:ascii="Calibri" w:hAnsi="Calibri" w:cs="Calibri"/>
        </w:rPr>
        <w:t>I</w:t>
      </w:r>
      <w:r w:rsidR="005E1B7E" w:rsidRPr="00D9664F">
        <w:rPr>
          <w:rFonts w:ascii="Calibri" w:hAnsi="Calibri" w:cs="Calibri"/>
        </w:rPr>
        <w:t xml:space="preserve"> candidati che present</w:t>
      </w:r>
      <w:r w:rsidRPr="00D9664F">
        <w:rPr>
          <w:rFonts w:ascii="Calibri" w:hAnsi="Calibri" w:cs="Calibri"/>
        </w:rPr>
        <w:t>erann</w:t>
      </w:r>
      <w:r w:rsidR="005E1B7E" w:rsidRPr="00D9664F">
        <w:rPr>
          <w:rFonts w:ascii="Calibri" w:hAnsi="Calibri" w:cs="Calibri"/>
        </w:rPr>
        <w:t xml:space="preserve">o i requisiti necessari saranno invitati ad un incontro di selezione. Un’apposita commissione </w:t>
      </w:r>
      <w:r w:rsidR="003F0EB1" w:rsidRPr="00953F1D">
        <w:rPr>
          <w:szCs w:val="20"/>
        </w:rPr>
        <w:t>costituita da</w:t>
      </w:r>
      <w:r w:rsidR="009E0B6A">
        <w:rPr>
          <w:szCs w:val="20"/>
        </w:rPr>
        <w:t xml:space="preserve">l Direttore Generale, Elisabetta Valsecchi e da Luca </w:t>
      </w:r>
      <w:proofErr w:type="spellStart"/>
      <w:r w:rsidR="009E0B6A">
        <w:rPr>
          <w:szCs w:val="20"/>
        </w:rPr>
        <w:t>Calligaro</w:t>
      </w:r>
      <w:proofErr w:type="spellEnd"/>
      <w:r w:rsidR="009E0B6A">
        <w:rPr>
          <w:szCs w:val="20"/>
        </w:rPr>
        <w:t xml:space="preserve"> di ENAC</w:t>
      </w:r>
      <w:r w:rsidR="003F0EB1">
        <w:rPr>
          <w:color w:val="FF0000"/>
          <w:szCs w:val="20"/>
        </w:rPr>
        <w:t xml:space="preserve"> </w:t>
      </w:r>
      <w:r w:rsidR="005E1B7E" w:rsidRPr="00D9664F">
        <w:rPr>
          <w:rFonts w:ascii="Calibri" w:hAnsi="Calibri" w:cs="Calibri"/>
        </w:rPr>
        <w:t>procederà con la selezione sulla base dei criteri e le modalità riportati nel Bando e redigerà un Verbale in cui saranno riassunte le fasi di se</w:t>
      </w:r>
      <w:r w:rsidR="003F0EB1">
        <w:rPr>
          <w:rFonts w:ascii="Calibri" w:hAnsi="Calibri" w:cs="Calibri"/>
        </w:rPr>
        <w:t xml:space="preserve">lezione e i nomi dei vincitori. </w:t>
      </w:r>
      <w:r w:rsidR="003F0EB1" w:rsidRPr="00953F1D">
        <w:rPr>
          <w:szCs w:val="20"/>
        </w:rPr>
        <w:t>Il giudizio della Commissione di selezione sarà insindacabile</w:t>
      </w:r>
      <w:r w:rsidR="003F0EB1">
        <w:rPr>
          <w:szCs w:val="20"/>
        </w:rPr>
        <w:t>.</w:t>
      </w:r>
    </w:p>
    <w:bookmarkEnd w:id="0"/>
    <w:p w:rsidR="00AD1AD8" w:rsidRDefault="00AD1AD8" w:rsidP="003F0EB1">
      <w:pPr>
        <w:tabs>
          <w:tab w:val="left" w:pos="1985"/>
        </w:tabs>
        <w:spacing w:after="240" w:line="240" w:lineRule="auto"/>
        <w:contextualSpacing/>
        <w:jc w:val="both"/>
      </w:pPr>
      <w:r>
        <w:t xml:space="preserve">Obiettivo del processo di selezione è individuare i candidati più idonei a partecipare all’esperienza di mobilità attraverso la valutazione dei seguenti </w:t>
      </w:r>
      <w:r w:rsidR="00233AE0">
        <w:t>criteri</w:t>
      </w:r>
      <w:r w:rsidR="003F0EB1">
        <w:t>:</w:t>
      </w:r>
    </w:p>
    <w:p w:rsidR="00233AE0" w:rsidRDefault="00233AE0" w:rsidP="00795FE8">
      <w:pPr>
        <w:tabs>
          <w:tab w:val="left" w:pos="1985"/>
        </w:tabs>
        <w:spacing w:after="240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"/>
        <w:gridCol w:w="2843"/>
        <w:gridCol w:w="3970"/>
        <w:gridCol w:w="2515"/>
      </w:tblGrid>
      <w:tr w:rsidR="00233AE0" w:rsidRPr="00103C64" w:rsidTr="00C74561">
        <w:tc>
          <w:tcPr>
            <w:tcW w:w="526" w:type="dxa"/>
            <w:vAlign w:val="center"/>
          </w:tcPr>
          <w:p w:rsidR="00233AE0" w:rsidRPr="00103C64" w:rsidRDefault="00233AE0" w:rsidP="00795FE8">
            <w:pPr>
              <w:spacing w:after="240"/>
              <w:contextualSpacing/>
              <w:jc w:val="center"/>
              <w:rPr>
                <w:b/>
              </w:rPr>
            </w:pPr>
            <w:r w:rsidRPr="00103C64">
              <w:rPr>
                <w:b/>
              </w:rPr>
              <w:t>N</w:t>
            </w:r>
          </w:p>
        </w:tc>
        <w:tc>
          <w:tcPr>
            <w:tcW w:w="2843" w:type="dxa"/>
            <w:vAlign w:val="center"/>
          </w:tcPr>
          <w:p w:rsidR="00233AE0" w:rsidRPr="00103C64" w:rsidRDefault="00233AE0" w:rsidP="00795FE8">
            <w:pPr>
              <w:spacing w:after="240"/>
              <w:contextualSpacing/>
              <w:jc w:val="center"/>
              <w:rPr>
                <w:b/>
              </w:rPr>
            </w:pPr>
            <w:r w:rsidRPr="00103C64">
              <w:rPr>
                <w:b/>
              </w:rPr>
              <w:t>CRITERIO</w:t>
            </w:r>
          </w:p>
        </w:tc>
        <w:tc>
          <w:tcPr>
            <w:tcW w:w="3970" w:type="dxa"/>
            <w:vAlign w:val="center"/>
          </w:tcPr>
          <w:p w:rsidR="00233AE0" w:rsidRPr="00103C64" w:rsidRDefault="00233AE0" w:rsidP="00795FE8">
            <w:pPr>
              <w:spacing w:after="240"/>
              <w:contextualSpacing/>
              <w:jc w:val="center"/>
              <w:rPr>
                <w:b/>
              </w:rPr>
            </w:pPr>
            <w:r w:rsidRPr="00103C64">
              <w:rPr>
                <w:b/>
              </w:rPr>
              <w:t>MODALITÀ DI VALUTAZIONE</w:t>
            </w:r>
          </w:p>
        </w:tc>
        <w:tc>
          <w:tcPr>
            <w:tcW w:w="2515" w:type="dxa"/>
            <w:vAlign w:val="center"/>
          </w:tcPr>
          <w:p w:rsidR="00233AE0" w:rsidRPr="00103C64" w:rsidRDefault="00233AE0" w:rsidP="00795FE8">
            <w:pPr>
              <w:spacing w:after="240"/>
              <w:contextualSpacing/>
              <w:jc w:val="center"/>
              <w:rPr>
                <w:b/>
              </w:rPr>
            </w:pPr>
            <w:r w:rsidRPr="00103C64">
              <w:rPr>
                <w:b/>
              </w:rPr>
              <w:t>PUNTEGGIO</w:t>
            </w:r>
          </w:p>
        </w:tc>
      </w:tr>
      <w:tr w:rsidR="00233AE0" w:rsidTr="00C74561">
        <w:tc>
          <w:tcPr>
            <w:tcW w:w="526" w:type="dxa"/>
            <w:vAlign w:val="center"/>
          </w:tcPr>
          <w:p w:rsidR="00233AE0" w:rsidRDefault="00233AE0" w:rsidP="00795FE8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2843" w:type="dxa"/>
            <w:vAlign w:val="center"/>
          </w:tcPr>
          <w:p w:rsidR="00233AE0" w:rsidRDefault="00233AE0" w:rsidP="00795FE8">
            <w:pPr>
              <w:spacing w:after="240"/>
              <w:contextualSpacing/>
            </w:pPr>
            <w:r>
              <w:t xml:space="preserve">Motivazione </w:t>
            </w:r>
          </w:p>
        </w:tc>
        <w:tc>
          <w:tcPr>
            <w:tcW w:w="3970" w:type="dxa"/>
            <w:vAlign w:val="center"/>
          </w:tcPr>
          <w:p w:rsidR="00233AE0" w:rsidRDefault="00233AE0" w:rsidP="003F0EB1">
            <w:pPr>
              <w:spacing w:after="240"/>
              <w:contextualSpacing/>
              <w:jc w:val="center"/>
            </w:pPr>
            <w:r>
              <w:t>Valutazione basata sulla q</w:t>
            </w:r>
            <w:r w:rsidRPr="0059593C">
              <w:t xml:space="preserve">ualità </w:t>
            </w:r>
            <w:r w:rsidR="003F0EB1">
              <w:t>del</w:t>
            </w:r>
            <w:r>
              <w:t xml:space="preserve"> colloquio</w:t>
            </w:r>
            <w:r w:rsidR="003F0EB1">
              <w:t xml:space="preserve"> motivazionale</w:t>
            </w:r>
          </w:p>
        </w:tc>
        <w:tc>
          <w:tcPr>
            <w:tcW w:w="2515" w:type="dxa"/>
            <w:vAlign w:val="center"/>
          </w:tcPr>
          <w:p w:rsidR="00233AE0" w:rsidRDefault="003F0EB1" w:rsidP="00795FE8">
            <w:pPr>
              <w:spacing w:after="240"/>
              <w:contextualSpacing/>
            </w:pPr>
            <w:r>
              <w:t>Punteggio da 0 a 3</w:t>
            </w:r>
            <w:r w:rsidR="00795FE8">
              <w:t>0</w:t>
            </w:r>
          </w:p>
        </w:tc>
      </w:tr>
      <w:tr w:rsidR="003F0EB1" w:rsidTr="00C74561">
        <w:tc>
          <w:tcPr>
            <w:tcW w:w="526" w:type="dxa"/>
            <w:vAlign w:val="center"/>
          </w:tcPr>
          <w:p w:rsidR="003F0EB1" w:rsidRDefault="003F0EB1" w:rsidP="00795FE8">
            <w:pPr>
              <w:spacing w:after="240"/>
              <w:contextualSpacing/>
              <w:jc w:val="center"/>
            </w:pPr>
            <w:r>
              <w:t>2</w:t>
            </w:r>
          </w:p>
        </w:tc>
        <w:tc>
          <w:tcPr>
            <w:tcW w:w="2843" w:type="dxa"/>
            <w:vAlign w:val="center"/>
          </w:tcPr>
          <w:p w:rsidR="003F0EB1" w:rsidRDefault="00790AA6" w:rsidP="00795FE8">
            <w:pPr>
              <w:spacing w:after="240"/>
              <w:contextualSpacing/>
            </w:pPr>
            <w:r w:rsidRPr="00790AA6">
              <w:t xml:space="preserve">Ricaduta </w:t>
            </w:r>
            <w:r>
              <w:t>attesa sull’ente e ricaduta sul candidato</w:t>
            </w:r>
            <w:r w:rsidRPr="00790AA6">
              <w:t xml:space="preserve"> in ter</w:t>
            </w:r>
            <w:r>
              <w:t>mini di esperienza e formazione</w:t>
            </w:r>
          </w:p>
        </w:tc>
        <w:tc>
          <w:tcPr>
            <w:tcW w:w="3970" w:type="dxa"/>
            <w:vAlign w:val="center"/>
          </w:tcPr>
          <w:p w:rsidR="00790AA6" w:rsidRDefault="003F0EB1" w:rsidP="00790AA6">
            <w:pPr>
              <w:spacing w:after="240"/>
              <w:contextualSpacing/>
              <w:jc w:val="center"/>
            </w:pPr>
            <w:r>
              <w:t>Valutazione basata sulla rispondenza del profilo del candidato</w:t>
            </w:r>
            <w:r w:rsidR="00790AA6">
              <w:t xml:space="preserve">, </w:t>
            </w:r>
            <w:r w:rsidR="00987011">
              <w:t xml:space="preserve">la tematica/tipo di partner del flusso di mobilità </w:t>
            </w:r>
            <w:r w:rsidR="00790AA6">
              <w:t>scelto</w:t>
            </w:r>
          </w:p>
        </w:tc>
        <w:tc>
          <w:tcPr>
            <w:tcW w:w="2515" w:type="dxa"/>
            <w:vAlign w:val="center"/>
          </w:tcPr>
          <w:p w:rsidR="003F0EB1" w:rsidRDefault="003F0EB1" w:rsidP="00790AA6">
            <w:pPr>
              <w:spacing w:after="240"/>
              <w:contextualSpacing/>
            </w:pPr>
            <w:r>
              <w:t xml:space="preserve">Punteggio da 0 a </w:t>
            </w:r>
            <w:r w:rsidR="00790AA6">
              <w:t>4</w:t>
            </w:r>
            <w:r>
              <w:t>0</w:t>
            </w:r>
          </w:p>
        </w:tc>
      </w:tr>
      <w:tr w:rsidR="00233AE0" w:rsidTr="00C74561">
        <w:tc>
          <w:tcPr>
            <w:tcW w:w="526" w:type="dxa"/>
            <w:vAlign w:val="center"/>
          </w:tcPr>
          <w:p w:rsidR="00233AE0" w:rsidRDefault="003F0EB1" w:rsidP="00795FE8">
            <w:pPr>
              <w:spacing w:after="240"/>
              <w:contextualSpacing/>
              <w:jc w:val="center"/>
            </w:pPr>
            <w:r>
              <w:t>3</w:t>
            </w:r>
          </w:p>
        </w:tc>
        <w:tc>
          <w:tcPr>
            <w:tcW w:w="2843" w:type="dxa"/>
            <w:vAlign w:val="center"/>
          </w:tcPr>
          <w:p w:rsidR="00233AE0" w:rsidRDefault="00233AE0" w:rsidP="00790AA6">
            <w:pPr>
              <w:spacing w:after="240"/>
              <w:contextualSpacing/>
            </w:pPr>
            <w:r>
              <w:t>Conoscenza linguistica del</w:t>
            </w:r>
            <w:r w:rsidR="00790AA6">
              <w:t>la lingua veicolare (</w:t>
            </w:r>
            <w:r>
              <w:t>inglese)</w:t>
            </w:r>
          </w:p>
        </w:tc>
        <w:tc>
          <w:tcPr>
            <w:tcW w:w="3970" w:type="dxa"/>
            <w:vAlign w:val="center"/>
          </w:tcPr>
          <w:p w:rsidR="00790AA6" w:rsidRPr="00987011" w:rsidRDefault="00233AE0" w:rsidP="00790AA6">
            <w:pPr>
              <w:spacing w:after="240"/>
              <w:contextualSpacing/>
              <w:jc w:val="center"/>
            </w:pPr>
            <w:r w:rsidRPr="00E57D9C">
              <w:t>Presentazione di un certificato di lingua</w:t>
            </w:r>
            <w:r w:rsidR="00790AA6" w:rsidRPr="00E57D9C">
              <w:t xml:space="preserve"> / Autocertificazione secondo modello del passaporto europeo delle lingue</w:t>
            </w:r>
          </w:p>
          <w:p w:rsidR="00790AA6" w:rsidRPr="00987011" w:rsidRDefault="00790AA6" w:rsidP="00790AA6">
            <w:pPr>
              <w:spacing w:after="24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515" w:type="dxa"/>
            <w:vAlign w:val="center"/>
          </w:tcPr>
          <w:p w:rsidR="00233AE0" w:rsidRDefault="00795FE8" w:rsidP="00795FE8">
            <w:pPr>
              <w:spacing w:after="240"/>
              <w:contextualSpacing/>
            </w:pPr>
            <w:r>
              <w:t xml:space="preserve">Punteggio da 0 a </w:t>
            </w:r>
            <w:r w:rsidR="00790AA6">
              <w:t>3</w:t>
            </w:r>
            <w:r>
              <w:t>0</w:t>
            </w:r>
          </w:p>
          <w:p w:rsidR="00026853" w:rsidRDefault="00026853" w:rsidP="00795FE8">
            <w:pPr>
              <w:spacing w:after="240"/>
              <w:contextualSpacing/>
            </w:pPr>
          </w:p>
          <w:p w:rsidR="00795FE8" w:rsidRDefault="00795FE8" w:rsidP="00795FE8">
            <w:pPr>
              <w:spacing w:after="240"/>
              <w:contextualSpacing/>
            </w:pPr>
            <w:r>
              <w:t>A1: 5 punti</w:t>
            </w:r>
          </w:p>
          <w:p w:rsidR="00233AE0" w:rsidRDefault="00233AE0" w:rsidP="00795FE8">
            <w:pPr>
              <w:spacing w:after="240"/>
              <w:contextualSpacing/>
            </w:pPr>
            <w:r>
              <w:t xml:space="preserve">A2: </w:t>
            </w:r>
            <w:r w:rsidR="00795FE8">
              <w:t>10</w:t>
            </w:r>
            <w:r>
              <w:t xml:space="preserve"> punti</w:t>
            </w:r>
          </w:p>
          <w:p w:rsidR="00233AE0" w:rsidRDefault="00795FE8" w:rsidP="00795FE8">
            <w:pPr>
              <w:spacing w:after="240"/>
              <w:contextualSpacing/>
            </w:pPr>
            <w:r>
              <w:t>B1: 2</w:t>
            </w:r>
            <w:r w:rsidR="00233AE0">
              <w:t>0 punti</w:t>
            </w:r>
          </w:p>
          <w:p w:rsidR="00233AE0" w:rsidRDefault="00795FE8" w:rsidP="00795FE8">
            <w:pPr>
              <w:spacing w:after="240"/>
              <w:contextualSpacing/>
            </w:pPr>
            <w:r>
              <w:t xml:space="preserve">B2: </w:t>
            </w:r>
            <w:r w:rsidR="00790AA6">
              <w:t>25</w:t>
            </w:r>
            <w:r w:rsidR="00233AE0">
              <w:t xml:space="preserve"> punti</w:t>
            </w:r>
          </w:p>
          <w:p w:rsidR="00233AE0" w:rsidRDefault="00795FE8" w:rsidP="00790AA6">
            <w:pPr>
              <w:spacing w:after="240"/>
              <w:contextualSpacing/>
            </w:pPr>
            <w:r>
              <w:t xml:space="preserve">C1-C2: </w:t>
            </w:r>
            <w:r w:rsidR="00790AA6">
              <w:t xml:space="preserve">30 </w:t>
            </w:r>
            <w:r w:rsidR="00233AE0">
              <w:t>punti</w:t>
            </w:r>
          </w:p>
          <w:p w:rsidR="00E57D9C" w:rsidRDefault="00E57D9C" w:rsidP="00790AA6">
            <w:pPr>
              <w:spacing w:after="240"/>
              <w:contextualSpacing/>
            </w:pPr>
          </w:p>
          <w:p w:rsidR="00E57D9C" w:rsidRPr="00182B84" w:rsidRDefault="00E57D9C" w:rsidP="00790AA6">
            <w:pPr>
              <w:spacing w:after="240"/>
              <w:contextualSpacing/>
              <w:rPr>
                <w:sz w:val="18"/>
              </w:rPr>
            </w:pPr>
            <w:r w:rsidRPr="00E57D9C">
              <w:rPr>
                <w:sz w:val="18"/>
              </w:rPr>
              <w:t>Il punteggio è dato dalla media nella “Comprensione” e “Parlato</w:t>
            </w:r>
            <w:r>
              <w:rPr>
                <w:sz w:val="18"/>
              </w:rPr>
              <w:t>”. Es: Comprensione B2 / Parlato B1 &gt;&gt; (25+</w:t>
            </w:r>
            <w:proofErr w:type="gramStart"/>
            <w:r>
              <w:rPr>
                <w:sz w:val="18"/>
              </w:rPr>
              <w:t>20)/</w:t>
            </w:r>
            <w:proofErr w:type="gramEnd"/>
            <w:r>
              <w:rPr>
                <w:sz w:val="18"/>
              </w:rPr>
              <w:t>2= 22.5</w:t>
            </w:r>
          </w:p>
        </w:tc>
      </w:tr>
      <w:tr w:rsidR="00233AE0" w:rsidTr="00C74561">
        <w:tc>
          <w:tcPr>
            <w:tcW w:w="526" w:type="dxa"/>
            <w:shd w:val="clear" w:color="auto" w:fill="BFBFBF" w:themeFill="background1" w:themeFillShade="BF"/>
            <w:vAlign w:val="center"/>
          </w:tcPr>
          <w:p w:rsidR="00233AE0" w:rsidRDefault="003F0EB1" w:rsidP="00795FE8">
            <w:pPr>
              <w:spacing w:after="240"/>
              <w:contextualSpacing/>
              <w:jc w:val="center"/>
            </w:pPr>
            <w:r>
              <w:t>4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233AE0" w:rsidRDefault="00233AE0" w:rsidP="00795FE8">
            <w:pPr>
              <w:spacing w:after="240"/>
              <w:contextualSpacing/>
            </w:pPr>
            <w:r>
              <w:t>Partecipazione a precedenti mobilità</w:t>
            </w:r>
          </w:p>
        </w:tc>
        <w:tc>
          <w:tcPr>
            <w:tcW w:w="6485" w:type="dxa"/>
            <w:gridSpan w:val="2"/>
            <w:shd w:val="clear" w:color="auto" w:fill="BFBFBF" w:themeFill="background1" w:themeFillShade="BF"/>
            <w:vAlign w:val="center"/>
          </w:tcPr>
          <w:p w:rsidR="00233AE0" w:rsidRDefault="00233AE0" w:rsidP="00795FE8">
            <w:pPr>
              <w:spacing w:after="240"/>
              <w:contextualSpacing/>
            </w:pPr>
            <w:r>
              <w:t>In caso di parità di punteggio sarà data priorità al personale che non abbia</w:t>
            </w:r>
            <w:r w:rsidRPr="004108F4">
              <w:t xml:space="preserve"> </w:t>
            </w:r>
            <w:r>
              <w:t xml:space="preserve">già </w:t>
            </w:r>
            <w:r w:rsidRPr="004108F4">
              <w:t>preso parte a progetti di mobilità presen</w:t>
            </w:r>
            <w:r>
              <w:t>tati nell'ambito del programma E</w:t>
            </w:r>
            <w:r w:rsidRPr="004108F4">
              <w:t>rasmus+</w:t>
            </w:r>
            <w:r>
              <w:t xml:space="preserve"> o a precedenti </w:t>
            </w:r>
            <w:r w:rsidRPr="004108F4">
              <w:t>progetti del programma LLP</w:t>
            </w:r>
          </w:p>
        </w:tc>
      </w:tr>
    </w:tbl>
    <w:p w:rsidR="00AD1AD8" w:rsidRDefault="00AD1AD8" w:rsidP="00795FE8">
      <w:pPr>
        <w:tabs>
          <w:tab w:val="left" w:pos="1985"/>
        </w:tabs>
        <w:spacing w:after="240" w:line="240" w:lineRule="auto"/>
        <w:contextualSpacing/>
        <w:rPr>
          <w:b/>
        </w:rPr>
      </w:pPr>
    </w:p>
    <w:p w:rsidR="003F0EB1" w:rsidRDefault="003F0EB1" w:rsidP="003F0EB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esiti delle selezioni delle singole sedi saranno trasmessi a ENAC che procederà alla composizione dei gruppi al fine di garantire un’equa partecipazione degli enti e il migliore abbinamento tra partecipan</w:t>
      </w:r>
      <w:r w:rsidR="00BD18D1">
        <w:rPr>
          <w:rFonts w:ascii="Calibri" w:hAnsi="Calibri" w:cs="Calibri"/>
        </w:rPr>
        <w:t>ti e tipo di formazione erogata dall’ente ospitante (macro-area).</w:t>
      </w:r>
    </w:p>
    <w:p w:rsidR="003F0EB1" w:rsidRPr="00D9664F" w:rsidRDefault="003F0EB1" w:rsidP="003F0EB1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" w:hAnsi="Calibri" w:cs="Calibri"/>
        </w:rPr>
      </w:pPr>
      <w:r w:rsidRPr="00D9664F">
        <w:rPr>
          <w:rFonts w:ascii="Calibri" w:hAnsi="Calibri" w:cs="Calibri"/>
        </w:rPr>
        <w:lastRenderedPageBreak/>
        <w:t xml:space="preserve">Tutti i candidati saranno informati dell’esito delle selezioni </w:t>
      </w:r>
      <w:r w:rsidR="00BD18D1" w:rsidRPr="00953F1D">
        <w:rPr>
          <w:szCs w:val="20"/>
        </w:rPr>
        <w:t xml:space="preserve">entro il </w:t>
      </w:r>
      <w:r w:rsidR="00BD18D1" w:rsidRPr="00BD18D1">
        <w:rPr>
          <w:b/>
          <w:szCs w:val="20"/>
        </w:rPr>
        <w:t>31/01/2019</w:t>
      </w:r>
      <w:r w:rsidR="00BD18D1" w:rsidRPr="00BD18D1">
        <w:rPr>
          <w:szCs w:val="20"/>
        </w:rPr>
        <w:t xml:space="preserve"> </w:t>
      </w:r>
      <w:r w:rsidRPr="00BD18D1">
        <w:rPr>
          <w:rFonts w:ascii="Calibri" w:hAnsi="Calibri" w:cs="Calibri"/>
        </w:rPr>
        <w:t>attraverso la pubblicazione sul sito internet di ENAC</w:t>
      </w:r>
      <w:r w:rsidR="00BD18D1" w:rsidRPr="00BD18D1">
        <w:rPr>
          <w:rFonts w:ascii="Calibri" w:hAnsi="Calibri" w:cs="Calibri"/>
        </w:rPr>
        <w:t xml:space="preserve"> </w:t>
      </w:r>
      <w:r w:rsidR="00BD18D1" w:rsidRPr="00BD18D1">
        <w:rPr>
          <w:szCs w:val="20"/>
        </w:rPr>
        <w:t>(</w:t>
      </w:r>
      <w:hyperlink r:id="rId10" w:history="1">
        <w:r w:rsidR="00BD18D1" w:rsidRPr="007849CA">
          <w:rPr>
            <w:rStyle w:val="Collegamentoipertestuale"/>
            <w:i/>
            <w:szCs w:val="20"/>
          </w:rPr>
          <w:t>http://enac.org/j2e-journey-to-excellence/</w:t>
        </w:r>
      </w:hyperlink>
      <w:r w:rsidR="00BD18D1" w:rsidRPr="00BD18D1">
        <w:rPr>
          <w:i/>
          <w:szCs w:val="20"/>
        </w:rPr>
        <w:t>)</w:t>
      </w:r>
      <w:r w:rsidRPr="00D9664F">
        <w:rPr>
          <w:rFonts w:ascii="Calibri" w:hAnsi="Calibri" w:cs="Calibri"/>
        </w:rPr>
        <w:t xml:space="preserve"> di apposita graduatoria riportante i partecipanti scelti, le riserve e i non ammessi.</w:t>
      </w:r>
    </w:p>
    <w:p w:rsidR="00953F1D" w:rsidRPr="00AD1AD8" w:rsidRDefault="00953F1D" w:rsidP="00795FE8">
      <w:pPr>
        <w:tabs>
          <w:tab w:val="left" w:pos="1985"/>
        </w:tabs>
        <w:spacing w:after="240" w:line="240" w:lineRule="auto"/>
        <w:contextualSpacing/>
        <w:rPr>
          <w:color w:val="FF0000"/>
        </w:rPr>
      </w:pPr>
    </w:p>
    <w:p w:rsidR="00F50E14" w:rsidRDefault="00960EEF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>
        <w:rPr>
          <w:b/>
        </w:rPr>
        <w:t>Articolo 6</w:t>
      </w:r>
      <w:r w:rsidR="006714E8" w:rsidRPr="00D46C07">
        <w:rPr>
          <w:b/>
        </w:rPr>
        <w:t xml:space="preserve"> – </w:t>
      </w:r>
      <w:r w:rsidR="00F50E14">
        <w:rPr>
          <w:b/>
        </w:rPr>
        <w:t>Attri</w:t>
      </w:r>
      <w:r w:rsidR="00BD18D1">
        <w:rPr>
          <w:b/>
        </w:rPr>
        <w:t>buzione delle borse di mobilità</w:t>
      </w:r>
    </w:p>
    <w:p w:rsidR="00F50E14" w:rsidRPr="00066E34" w:rsidRDefault="00F50E14" w:rsidP="00BD18D1">
      <w:pPr>
        <w:tabs>
          <w:tab w:val="left" w:pos="1985"/>
        </w:tabs>
        <w:spacing w:after="240" w:line="240" w:lineRule="auto"/>
        <w:contextualSpacing/>
        <w:jc w:val="both"/>
      </w:pPr>
      <w:r w:rsidRPr="00066E34">
        <w:t>Il membro dello staff selezionato per partecip</w:t>
      </w:r>
      <w:r w:rsidR="0004684B" w:rsidRPr="00066E34">
        <w:t>are sarà tenuto a sottoscrivere, prima della partenza, un accordo</w:t>
      </w:r>
      <w:r w:rsidR="00182B84">
        <w:rPr>
          <w:rStyle w:val="Rimandonotaapidipagina"/>
        </w:rPr>
        <w:footnoteReference w:id="4"/>
      </w:r>
      <w:r w:rsidR="0004684B" w:rsidRPr="00066E34">
        <w:t xml:space="preserve"> che conterrà le previsioni di reciproco impegno che disciplinano l’esperienza di mobilità. Il partecipante è tenuto a partecipare alle attività preparato</w:t>
      </w:r>
      <w:r w:rsidR="00D640F3" w:rsidRPr="00066E34">
        <w:t>rie alla mobilità e quelle</w:t>
      </w:r>
      <w:r w:rsidR="0004684B" w:rsidRPr="00066E34">
        <w:t xml:space="preserve"> successive comprese le att</w:t>
      </w:r>
      <w:r w:rsidR="00D640F3" w:rsidRPr="00066E34">
        <w:t>ività di disseminazione relative</w:t>
      </w:r>
      <w:r w:rsidR="00CC0263" w:rsidRPr="00066E34">
        <w:t xml:space="preserve"> al progetto.</w:t>
      </w:r>
    </w:p>
    <w:p w:rsidR="00E57D9C" w:rsidRDefault="00E57D9C" w:rsidP="00BD18D1">
      <w:pPr>
        <w:tabs>
          <w:tab w:val="left" w:pos="1985"/>
        </w:tabs>
        <w:spacing w:after="240" w:line="240" w:lineRule="auto"/>
        <w:contextualSpacing/>
        <w:jc w:val="both"/>
      </w:pPr>
    </w:p>
    <w:p w:rsidR="0067026F" w:rsidRPr="00D640F3" w:rsidRDefault="0004684B" w:rsidP="00BD18D1">
      <w:pPr>
        <w:tabs>
          <w:tab w:val="left" w:pos="1985"/>
        </w:tabs>
        <w:spacing w:after="240" w:line="240" w:lineRule="auto"/>
        <w:contextualSpacing/>
        <w:jc w:val="both"/>
      </w:pPr>
      <w:r w:rsidRPr="00D640F3">
        <w:t xml:space="preserve">La mancata ottemperanza agli obblighi previsti e sottoscritti nel contratto di mobilità con l’Istituto comportano la mancata erogazione della borsa o la restituzione di </w:t>
      </w:r>
      <w:r w:rsidR="00795FE8" w:rsidRPr="00D640F3">
        <w:t>eventuali somme già versate.</w:t>
      </w:r>
    </w:p>
    <w:p w:rsidR="00795FE8" w:rsidRPr="00795FE8" w:rsidRDefault="00795FE8" w:rsidP="00795FE8">
      <w:pPr>
        <w:tabs>
          <w:tab w:val="left" w:pos="1985"/>
        </w:tabs>
        <w:spacing w:after="240" w:line="240" w:lineRule="auto"/>
        <w:contextualSpacing/>
        <w:rPr>
          <w:color w:val="FF0000"/>
        </w:rPr>
      </w:pPr>
    </w:p>
    <w:p w:rsidR="00233AE0" w:rsidRPr="00233AE0" w:rsidRDefault="00960EEF" w:rsidP="00795FE8">
      <w:pPr>
        <w:tabs>
          <w:tab w:val="left" w:pos="1985"/>
        </w:tabs>
        <w:spacing w:before="100" w:beforeAutospacing="1" w:after="240"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 xml:space="preserve">Articolo </w:t>
      </w:r>
      <w:proofErr w:type="gramStart"/>
      <w:r>
        <w:rPr>
          <w:b/>
          <w:szCs w:val="20"/>
        </w:rPr>
        <w:t>7</w:t>
      </w:r>
      <w:r w:rsidR="00233AE0" w:rsidRPr="00233AE0">
        <w:rPr>
          <w:b/>
          <w:szCs w:val="20"/>
        </w:rPr>
        <w:t xml:space="preserve">  –</w:t>
      </w:r>
      <w:proofErr w:type="gramEnd"/>
      <w:r w:rsidR="00233AE0" w:rsidRPr="00233AE0">
        <w:rPr>
          <w:b/>
          <w:szCs w:val="20"/>
        </w:rPr>
        <w:t xml:space="preserve"> Conferma, rinunce e riassegnazioni </w:t>
      </w:r>
    </w:p>
    <w:p w:rsidR="00CC0263" w:rsidRPr="00066E34" w:rsidRDefault="00233AE0" w:rsidP="00795FE8">
      <w:pPr>
        <w:tabs>
          <w:tab w:val="left" w:pos="1985"/>
        </w:tabs>
        <w:spacing w:before="100" w:beforeAutospacing="1" w:after="240" w:line="240" w:lineRule="auto"/>
        <w:contextualSpacing/>
        <w:jc w:val="both"/>
      </w:pPr>
      <w:r w:rsidRPr="00066E34">
        <w:t xml:space="preserve">Ai candidati selezionati sarà fatto pervenire, oltre alla comunicazione dell’ammissione, anche </w:t>
      </w:r>
      <w:r w:rsidR="00CC0263" w:rsidRPr="00066E34">
        <w:t>l’accordo, che varrà come conferma della propria partecipazione alle attività, da sottoscrivere</w:t>
      </w:r>
      <w:r w:rsidRPr="00066E34">
        <w:t xml:space="preserve"> entro il termine che sarà reso noto all’atto della pubblica</w:t>
      </w:r>
      <w:r w:rsidR="00CC0263" w:rsidRPr="00066E34">
        <w:t>zione dell’elenco degli ammessi</w:t>
      </w:r>
      <w:r w:rsidRPr="00066E34">
        <w:t>.</w:t>
      </w:r>
    </w:p>
    <w:p w:rsidR="00233AE0" w:rsidRDefault="00233AE0" w:rsidP="00795FE8">
      <w:pPr>
        <w:tabs>
          <w:tab w:val="left" w:pos="1985"/>
        </w:tabs>
        <w:spacing w:before="100" w:beforeAutospacing="1" w:after="240" w:line="240" w:lineRule="auto"/>
        <w:contextualSpacing/>
        <w:jc w:val="both"/>
      </w:pPr>
      <w:r w:rsidRPr="00233AE0">
        <w:t>I candidati che rinunceranno alla partecipazione al progetto ad un mese dalla partenza prevista saranno chiamati a rifondere le spese di viaggio anticipate dall’Ente promotore. In caso di rinuncia del beneficiario si procederà con lo scorrimento della graduatoria.</w:t>
      </w:r>
    </w:p>
    <w:p w:rsidR="00795FE8" w:rsidRPr="00F50E14" w:rsidRDefault="00795FE8" w:rsidP="00795FE8">
      <w:pPr>
        <w:tabs>
          <w:tab w:val="left" w:pos="1985"/>
        </w:tabs>
        <w:spacing w:before="100" w:beforeAutospacing="1" w:after="240" w:line="240" w:lineRule="auto"/>
        <w:contextualSpacing/>
        <w:jc w:val="both"/>
      </w:pPr>
    </w:p>
    <w:p w:rsidR="00827EFC" w:rsidRDefault="0067026F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>
        <w:rPr>
          <w:b/>
        </w:rPr>
        <w:t xml:space="preserve">Articolo </w:t>
      </w:r>
      <w:r w:rsidR="00960EEF">
        <w:rPr>
          <w:b/>
        </w:rPr>
        <w:t>8</w:t>
      </w:r>
      <w:r>
        <w:rPr>
          <w:b/>
        </w:rPr>
        <w:t xml:space="preserve"> – Spese ammissibili oggetto di contributo </w:t>
      </w:r>
    </w:p>
    <w:p w:rsidR="00953F1D" w:rsidRPr="00953F1D" w:rsidRDefault="00953F1D" w:rsidP="00795FE8">
      <w:pPr>
        <w:tabs>
          <w:tab w:val="left" w:pos="1985"/>
        </w:tabs>
        <w:spacing w:after="240" w:line="240" w:lineRule="auto"/>
        <w:contextualSpacing/>
        <w:rPr>
          <w:szCs w:val="20"/>
        </w:rPr>
      </w:pPr>
      <w:r w:rsidRPr="00953F1D">
        <w:rPr>
          <w:szCs w:val="20"/>
        </w:rPr>
        <w:t xml:space="preserve">Il progetto prevede un contributo </w:t>
      </w:r>
      <w:r w:rsidR="00AB384D">
        <w:rPr>
          <w:szCs w:val="20"/>
        </w:rPr>
        <w:t>per coprire i seguenti costi</w:t>
      </w:r>
      <w:r w:rsidRPr="00953F1D">
        <w:rPr>
          <w:szCs w:val="20"/>
        </w:rPr>
        <w:t>:</w:t>
      </w:r>
    </w:p>
    <w:p w:rsidR="00795FE8" w:rsidRPr="00D2056E" w:rsidRDefault="00795FE8" w:rsidP="00795FE8">
      <w:pPr>
        <w:pStyle w:val="Paragrafoelenco"/>
        <w:numPr>
          <w:ilvl w:val="0"/>
          <w:numId w:val="8"/>
        </w:numPr>
        <w:spacing w:after="240" w:line="240" w:lineRule="auto"/>
      </w:pPr>
      <w:r w:rsidRPr="00D2056E">
        <w:t xml:space="preserve">Spese di viaggio, da intendersi come biglietto aereo di andata e ritorno. Per motivi di carattere logistico ed organizzativo potrebbe essere scelto un aeroporto di partenza diverso da quello dove </w:t>
      </w:r>
      <w:r>
        <w:t>h</w:t>
      </w:r>
      <w:r w:rsidRPr="00D2056E">
        <w:t>a sede l’Ente Inviante. Il trasferimento tra la propria città di residenza e l’aeroporto di partenza è a carico del partecipante;</w:t>
      </w:r>
    </w:p>
    <w:p w:rsidR="00795FE8" w:rsidRDefault="00795FE8" w:rsidP="00795FE8">
      <w:pPr>
        <w:pStyle w:val="Paragrafoelenco"/>
        <w:numPr>
          <w:ilvl w:val="0"/>
          <w:numId w:val="8"/>
        </w:numPr>
        <w:spacing w:after="240" w:line="240" w:lineRule="auto"/>
      </w:pPr>
      <w:r w:rsidRPr="00D2056E">
        <w:t>Supporto individuale per le spese di vitto, alloggio e trasferimento in loco (con sistemazioni diverse a seconda del Paese di destinazione e in base alla prassi seguita per l’accoglienza dall’ente partner del progetto);</w:t>
      </w:r>
    </w:p>
    <w:p w:rsidR="00AB384D" w:rsidRPr="00D2056E" w:rsidRDefault="00AB384D" w:rsidP="00795FE8">
      <w:pPr>
        <w:pStyle w:val="Paragrafoelenco"/>
        <w:numPr>
          <w:ilvl w:val="0"/>
          <w:numId w:val="8"/>
        </w:numPr>
        <w:spacing w:after="240" w:line="240" w:lineRule="auto"/>
      </w:pPr>
      <w:r>
        <w:t>Coperture assicurative (se non già coperte dall’ente inviante);</w:t>
      </w:r>
    </w:p>
    <w:p w:rsidR="00795FE8" w:rsidRPr="00D2056E" w:rsidRDefault="00795FE8" w:rsidP="00795FE8">
      <w:pPr>
        <w:pStyle w:val="Paragrafoelenco"/>
        <w:numPr>
          <w:ilvl w:val="0"/>
          <w:numId w:val="8"/>
        </w:numPr>
        <w:spacing w:after="240" w:line="240" w:lineRule="auto"/>
      </w:pPr>
      <w:r w:rsidRPr="00D2056E">
        <w:t>Rilascio attestati e certificazioni al term</w:t>
      </w:r>
      <w:r w:rsidR="00D640F3">
        <w:t>ine dell’esperienza di Mobilità.</w:t>
      </w:r>
    </w:p>
    <w:p w:rsidR="00953F1D" w:rsidRPr="00953F1D" w:rsidRDefault="00953F1D" w:rsidP="00795FE8">
      <w:pPr>
        <w:tabs>
          <w:tab w:val="left" w:pos="1985"/>
        </w:tabs>
        <w:spacing w:after="240" w:line="240" w:lineRule="auto"/>
        <w:contextualSpacing/>
        <w:rPr>
          <w:szCs w:val="20"/>
        </w:rPr>
      </w:pPr>
      <w:r w:rsidRPr="00953F1D">
        <w:rPr>
          <w:szCs w:val="20"/>
        </w:rPr>
        <w:t xml:space="preserve">Rimangono a carico del partecipante tutte le spese non </w:t>
      </w:r>
      <w:r w:rsidR="00B552A1">
        <w:rPr>
          <w:szCs w:val="20"/>
        </w:rPr>
        <w:t>comprese</w:t>
      </w:r>
      <w:r w:rsidR="009B75CD">
        <w:rPr>
          <w:szCs w:val="20"/>
        </w:rPr>
        <w:t xml:space="preserve"> nell’elenco precedente</w:t>
      </w:r>
      <w:r w:rsidR="00B552A1" w:rsidRPr="00B552A1">
        <w:rPr>
          <w:szCs w:val="20"/>
        </w:rPr>
        <w:t>.</w:t>
      </w:r>
    </w:p>
    <w:p w:rsidR="005F356C" w:rsidRPr="00F50E14" w:rsidRDefault="005F356C" w:rsidP="00795FE8">
      <w:pPr>
        <w:tabs>
          <w:tab w:val="left" w:pos="1985"/>
        </w:tabs>
        <w:spacing w:after="240" w:line="240" w:lineRule="auto"/>
        <w:contextualSpacing/>
      </w:pPr>
    </w:p>
    <w:p w:rsidR="006714E8" w:rsidRDefault="00F50E14" w:rsidP="00795FE8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>
        <w:rPr>
          <w:b/>
        </w:rPr>
        <w:t xml:space="preserve">Articolo </w:t>
      </w:r>
      <w:r w:rsidR="00960EEF">
        <w:rPr>
          <w:b/>
        </w:rPr>
        <w:t>9</w:t>
      </w:r>
      <w:r>
        <w:rPr>
          <w:b/>
        </w:rPr>
        <w:t xml:space="preserve"> </w:t>
      </w:r>
      <w:r w:rsidR="002417E4">
        <w:rPr>
          <w:b/>
        </w:rPr>
        <w:t>–</w:t>
      </w:r>
      <w:r>
        <w:rPr>
          <w:b/>
        </w:rPr>
        <w:t xml:space="preserve"> </w:t>
      </w:r>
      <w:r w:rsidR="002417E4">
        <w:rPr>
          <w:b/>
        </w:rPr>
        <w:t>Tutela della privacy</w:t>
      </w:r>
    </w:p>
    <w:p w:rsidR="002B7FED" w:rsidRDefault="002B7FED" w:rsidP="002B7FED">
      <w:pPr>
        <w:tabs>
          <w:tab w:val="left" w:pos="1985"/>
        </w:tabs>
        <w:spacing w:after="240" w:line="240" w:lineRule="auto"/>
        <w:contextualSpacing/>
        <w:jc w:val="both"/>
      </w:pPr>
      <w:r>
        <w:t>Ai sensi e per gli effetti del</w:t>
      </w:r>
      <w:r w:rsidR="001A76F9">
        <w:t xml:space="preserve"> </w:t>
      </w:r>
      <w:r w:rsidR="001A76F9" w:rsidRPr="001A76F9">
        <w:t>Regolamento UE 2016/679</w:t>
      </w:r>
      <w:r>
        <w:t xml:space="preserve"> </w:t>
      </w:r>
      <w:r w:rsidR="002417E4">
        <w:t>ENAC</w:t>
      </w:r>
      <w:r>
        <w:t xml:space="preserve"> informa che procederà al trattamento dei dati personali forniti dai beneficiari che presentano domanda di </w:t>
      </w:r>
      <w:r w:rsidR="002417E4">
        <w:t>candidatura</w:t>
      </w:r>
      <w:r>
        <w:t xml:space="preserve">. I dati sono sottoposti a trattamento, informatizzato e non, esclusivamente per le finalità gestionali ed amministrative inerenti </w:t>
      </w:r>
      <w:proofErr w:type="gramStart"/>
      <w:r>
        <w:t>il</w:t>
      </w:r>
      <w:proofErr w:type="gramEnd"/>
      <w:r>
        <w:t xml:space="preserve"> presente </w:t>
      </w:r>
      <w:r w:rsidR="002417E4">
        <w:t>progetto</w:t>
      </w:r>
      <w:r>
        <w:t>. Tali dati non saranno comunicati a terzi, fatta eccezione per le competenti Pubbliche Autorità</w:t>
      </w:r>
      <w:r w:rsidR="00C74561">
        <w:t>/Autorità di Gestione</w:t>
      </w:r>
      <w:r>
        <w:t xml:space="preserve"> o soggetti privati in adempimento ad obblighi di legge</w:t>
      </w:r>
      <w:r w:rsidR="002417E4">
        <w:t xml:space="preserve"> e/o </w:t>
      </w:r>
      <w:r w:rsidR="00C74561">
        <w:t>per dare esecuzione al progetto</w:t>
      </w:r>
      <w:r>
        <w:t xml:space="preserve">. </w:t>
      </w:r>
      <w:r w:rsidR="002417E4">
        <w:t>Cont</w:t>
      </w:r>
      <w:r>
        <w:t>ito</w:t>
      </w:r>
      <w:r w:rsidR="002417E4">
        <w:t>lari</w:t>
      </w:r>
      <w:r>
        <w:t xml:space="preserve"> del trattamento </w:t>
      </w:r>
      <w:r w:rsidR="002417E4">
        <w:t>sono ENAC e l’ente associato datore di lavoro del beneficiario</w:t>
      </w:r>
      <w:r>
        <w:t>.</w:t>
      </w:r>
    </w:p>
    <w:p w:rsidR="00C74561" w:rsidRDefault="00C74561" w:rsidP="002B7FED">
      <w:pPr>
        <w:tabs>
          <w:tab w:val="left" w:pos="1985"/>
        </w:tabs>
        <w:spacing w:after="240" w:line="240" w:lineRule="auto"/>
        <w:contextualSpacing/>
        <w:jc w:val="both"/>
      </w:pPr>
    </w:p>
    <w:p w:rsidR="00C74561" w:rsidRPr="00066CB7" w:rsidRDefault="00066CB7" w:rsidP="00C74561">
      <w:pPr>
        <w:tabs>
          <w:tab w:val="left" w:pos="1985"/>
        </w:tabs>
        <w:spacing w:after="240" w:line="240" w:lineRule="auto"/>
        <w:contextualSpacing/>
        <w:jc w:val="center"/>
        <w:rPr>
          <w:b/>
        </w:rPr>
      </w:pPr>
      <w:r w:rsidRPr="00066CB7">
        <w:rPr>
          <w:b/>
        </w:rPr>
        <w:t>Articolo 10 –A</w:t>
      </w:r>
      <w:r w:rsidR="00C74561" w:rsidRPr="00066CB7">
        <w:rPr>
          <w:b/>
        </w:rPr>
        <w:t>ttestazioni</w:t>
      </w:r>
    </w:p>
    <w:p w:rsidR="00066CB7" w:rsidRDefault="00066CB7" w:rsidP="00066CB7">
      <w:pPr>
        <w:tabs>
          <w:tab w:val="left" w:pos="1985"/>
        </w:tabs>
        <w:spacing w:after="240" w:line="240" w:lineRule="auto"/>
        <w:contextualSpacing/>
        <w:jc w:val="both"/>
      </w:pPr>
      <w:r w:rsidRPr="00066CB7">
        <w:t>Ai partecipanti saranno rilasciati degli attestati di partecipazione</w:t>
      </w:r>
      <w:r>
        <w:t xml:space="preserve"> all’esperienza.</w:t>
      </w:r>
    </w:p>
    <w:p w:rsidR="00182B84" w:rsidRDefault="00182B84" w:rsidP="00066CB7">
      <w:pPr>
        <w:tabs>
          <w:tab w:val="left" w:pos="1985"/>
        </w:tabs>
        <w:spacing w:after="240" w:line="240" w:lineRule="auto"/>
        <w:contextualSpacing/>
        <w:jc w:val="both"/>
      </w:pPr>
    </w:p>
    <w:p w:rsidR="00987011" w:rsidRPr="00182B84" w:rsidRDefault="00987011" w:rsidP="00795FE8">
      <w:pPr>
        <w:tabs>
          <w:tab w:val="left" w:pos="1985"/>
        </w:tabs>
        <w:spacing w:after="240" w:line="240" w:lineRule="auto"/>
        <w:contextualSpacing/>
        <w:jc w:val="both"/>
        <w:rPr>
          <w:b/>
          <w:sz w:val="18"/>
          <w:szCs w:val="20"/>
        </w:rPr>
      </w:pPr>
      <w:r w:rsidRPr="00182B84">
        <w:rPr>
          <w:i/>
          <w:sz w:val="18"/>
        </w:rPr>
        <w:t>È possibile reperire i documenti presso il sito della scuola, in segreteria o richiedendolo al Referente del Progetto.</w:t>
      </w:r>
    </w:p>
    <w:sectPr w:rsidR="00987011" w:rsidRPr="00182B84" w:rsidSect="005554D0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1E" w:rsidRDefault="002B601E" w:rsidP="00754D58">
      <w:pPr>
        <w:spacing w:after="0" w:line="240" w:lineRule="auto"/>
      </w:pPr>
      <w:r>
        <w:separator/>
      </w:r>
    </w:p>
  </w:endnote>
  <w:endnote w:type="continuationSeparator" w:id="0">
    <w:p w:rsidR="002B601E" w:rsidRDefault="002B601E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C4" w:rsidRPr="003559C4" w:rsidRDefault="003559C4" w:rsidP="003559C4">
    <w:pPr>
      <w:tabs>
        <w:tab w:val="left" w:pos="709"/>
      </w:tabs>
      <w:adjustRightInd w:val="0"/>
      <w:spacing w:after="0" w:line="240" w:lineRule="auto"/>
      <w:ind w:left="709"/>
      <w:jc w:val="center"/>
      <w:rPr>
        <w:i/>
      </w:rPr>
    </w:pPr>
    <w:r w:rsidRPr="00E80F6D">
      <w:rPr>
        <w:i/>
      </w:rPr>
      <w:t xml:space="preserve">Il presente progetto è finanziato con il sostegno della Commissione europea. </w:t>
    </w:r>
    <w:r w:rsidRPr="008529F8">
      <w:rPr>
        <w:i/>
      </w:rPr>
      <w:t>Le opinioni espresse</w:t>
    </w:r>
    <w:r>
      <w:rPr>
        <w:i/>
      </w:rPr>
      <w:t xml:space="preserve"> in questo documento </w:t>
    </w:r>
    <w:r w:rsidRPr="008529F8">
      <w:rPr>
        <w:i/>
      </w:rPr>
      <w:t>sono esclusivamente quelle dell’autore e la AN e la Commissione non sono responsabili dell’utilizzo delle informazioni in essa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1E" w:rsidRDefault="002B601E" w:rsidP="00754D58">
      <w:pPr>
        <w:spacing w:after="0" w:line="240" w:lineRule="auto"/>
      </w:pPr>
      <w:r>
        <w:separator/>
      </w:r>
    </w:p>
  </w:footnote>
  <w:footnote w:type="continuationSeparator" w:id="0">
    <w:p w:rsidR="002B601E" w:rsidRDefault="002B601E" w:rsidP="00754D58">
      <w:pPr>
        <w:spacing w:after="0" w:line="240" w:lineRule="auto"/>
      </w:pPr>
      <w:r>
        <w:continuationSeparator/>
      </w:r>
    </w:p>
  </w:footnote>
  <w:footnote w:id="1">
    <w:p w:rsidR="00A93C35" w:rsidRPr="009F2FE5" w:rsidRDefault="00A93C35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 w:rsidR="00177B3E">
        <w:t xml:space="preserve"> </w:t>
      </w:r>
      <w:r w:rsidRPr="009F2FE5">
        <w:rPr>
          <w:sz w:val="18"/>
        </w:rPr>
        <w:t>Il numero totale delle borse e il numero di borse per singolo flusso potrebbero subire variazioni in base al numero di richieste ricevute e in base a cambi di disponibilità dell</w:t>
      </w:r>
      <w:r w:rsidR="00CC0263">
        <w:rPr>
          <w:sz w:val="18"/>
        </w:rPr>
        <w:t xml:space="preserve">'ente ospitante non prevedibili </w:t>
      </w:r>
      <w:r w:rsidRPr="009F2FE5">
        <w:rPr>
          <w:sz w:val="18"/>
        </w:rPr>
        <w:t>in fase di candidatura.</w:t>
      </w:r>
    </w:p>
  </w:footnote>
  <w:footnote w:id="2">
    <w:p w:rsidR="00182B84" w:rsidRDefault="00182B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62CA0">
        <w:rPr>
          <w:sz w:val="18"/>
        </w:rPr>
        <w:t>Una d</w:t>
      </w:r>
      <w:r w:rsidRPr="00182B84">
        <w:rPr>
          <w:sz w:val="18"/>
        </w:rPr>
        <w:t>escrizione degli enti ospitanti</w:t>
      </w:r>
      <w:r>
        <w:rPr>
          <w:sz w:val="18"/>
        </w:rPr>
        <w:t xml:space="preserve"> è reperibile al sito </w:t>
      </w:r>
      <w:hyperlink r:id="rId1" w:history="1">
        <w:r w:rsidRPr="00CF56BA">
          <w:rPr>
            <w:rStyle w:val="Collegamentoipertestuale"/>
            <w:sz w:val="18"/>
          </w:rPr>
          <w:t>http://enac.org/j2e-journey-to-excellence/</w:t>
        </w:r>
      </w:hyperlink>
    </w:p>
  </w:footnote>
  <w:footnote w:id="3">
    <w:p w:rsidR="00977FCB" w:rsidRPr="009F2FE5" w:rsidRDefault="00977FCB" w:rsidP="00977FCB">
      <w:pPr>
        <w:pStyle w:val="Testonotaapidipagina"/>
        <w:rPr>
          <w:sz w:val="18"/>
        </w:rPr>
      </w:pPr>
      <w:r w:rsidRPr="009F2FE5">
        <w:rPr>
          <w:rStyle w:val="Rimandonotaapidipagina"/>
          <w:sz w:val="18"/>
        </w:rPr>
        <w:footnoteRef/>
      </w:r>
      <w:r w:rsidRPr="009F2FE5">
        <w:rPr>
          <w:sz w:val="18"/>
        </w:rPr>
        <w:t xml:space="preserve"> Per staff si intende:</w:t>
      </w:r>
    </w:p>
    <w:p w:rsidR="00977FCB" w:rsidRPr="009F2FE5" w:rsidRDefault="00977FCB" w:rsidP="00977FCB">
      <w:pPr>
        <w:pStyle w:val="Testonotaapidipagina"/>
        <w:rPr>
          <w:sz w:val="18"/>
        </w:rPr>
      </w:pPr>
      <w:r w:rsidRPr="009F2FE5">
        <w:rPr>
          <w:sz w:val="18"/>
        </w:rPr>
        <w:t>- il personale dipendente full-time o part-time, assunto a tempo determinato/indeterminato</w:t>
      </w:r>
    </w:p>
    <w:p w:rsidR="00977FCB" w:rsidRDefault="00977FCB">
      <w:pPr>
        <w:pStyle w:val="Testonotaapidipagina"/>
      </w:pPr>
      <w:r w:rsidRPr="009F2FE5">
        <w:rPr>
          <w:sz w:val="18"/>
        </w:rPr>
        <w:t>- personale parasubordinato o partite iva individuali laddove sussista un rapporto di collaborazione stabile e continuativo nel tempo. A titolo esemplificativo rientrano in questa categoria professionisti che collaborano da anni con l'ente nell'erogazione dei servizi formativi, ma continuano a svolgere la loro professione o hanno uno studio/attività.</w:t>
      </w:r>
    </w:p>
  </w:footnote>
  <w:footnote w:id="4">
    <w:p w:rsidR="00182B84" w:rsidRDefault="00182B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82B84">
        <w:rPr>
          <w:sz w:val="18"/>
        </w:rPr>
        <w:t xml:space="preserve">Un modello di contratto è reperibile al sito </w:t>
      </w:r>
      <w:hyperlink r:id="rId2" w:history="1">
        <w:r w:rsidRPr="00CF56BA">
          <w:rPr>
            <w:rStyle w:val="Collegamentoipertestuale"/>
            <w:sz w:val="18"/>
          </w:rPr>
          <w:t>http://enac.org/j2e-journey-to-excellence/</w:t>
        </w:r>
      </w:hyperlink>
      <w:r>
        <w:rPr>
          <w:sz w:val="18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58" w:rsidRPr="00754D58" w:rsidRDefault="00754D58" w:rsidP="00754D5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9C4" w:rsidRDefault="003559C4">
    <w:pPr>
      <w:pStyle w:val="Intestazione"/>
    </w:pPr>
    <w:r>
      <w:rPr>
        <w:noProof/>
        <w:lang w:eastAsia="it-IT"/>
      </w:rPr>
      <w:drawing>
        <wp:inline distT="0" distB="0" distL="0" distR="0" wp14:anchorId="3763E8E8" wp14:editId="0EEACAA0">
          <wp:extent cx="1896695" cy="540000"/>
          <wp:effectExtent l="0" t="0" r="889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69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06C1465" wp14:editId="2D575057">
          <wp:simplePos x="0" y="0"/>
          <wp:positionH relativeFrom="column">
            <wp:posOffset>5386705</wp:posOffset>
          </wp:positionH>
          <wp:positionV relativeFrom="paragraph">
            <wp:posOffset>155575</wp:posOffset>
          </wp:positionV>
          <wp:extent cx="863600" cy="539750"/>
          <wp:effectExtent l="0" t="0" r="0" b="0"/>
          <wp:wrapTight wrapText="bothSides">
            <wp:wrapPolygon edited="0">
              <wp:start x="0" y="0"/>
              <wp:lineTo x="0" y="20584"/>
              <wp:lineTo x="20965" y="20584"/>
              <wp:lineTo x="20965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-Nazionale-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496"/>
    <w:multiLevelType w:val="hybridMultilevel"/>
    <w:tmpl w:val="8EC0E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CBB"/>
    <w:multiLevelType w:val="hybridMultilevel"/>
    <w:tmpl w:val="CE14915E"/>
    <w:lvl w:ilvl="0" w:tplc="487C2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46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C1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ADB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26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0F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8D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6B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4F4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44E4"/>
    <w:multiLevelType w:val="hybridMultilevel"/>
    <w:tmpl w:val="2BDCF4DC"/>
    <w:lvl w:ilvl="0" w:tplc="67128AB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95455"/>
    <w:multiLevelType w:val="hybridMultilevel"/>
    <w:tmpl w:val="278C9C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23D7F"/>
    <w:multiLevelType w:val="hybridMultilevel"/>
    <w:tmpl w:val="D2049F14"/>
    <w:lvl w:ilvl="0" w:tplc="67128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DA6"/>
    <w:multiLevelType w:val="hybridMultilevel"/>
    <w:tmpl w:val="C8C49D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763707"/>
    <w:multiLevelType w:val="hybridMultilevel"/>
    <w:tmpl w:val="8AF2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A29"/>
    <w:multiLevelType w:val="hybridMultilevel"/>
    <w:tmpl w:val="71428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56F9"/>
    <w:multiLevelType w:val="hybridMultilevel"/>
    <w:tmpl w:val="F1E0E0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5567D"/>
    <w:multiLevelType w:val="hybridMultilevel"/>
    <w:tmpl w:val="A18AB15A"/>
    <w:lvl w:ilvl="0" w:tplc="67128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58"/>
    <w:rsid w:val="00026853"/>
    <w:rsid w:val="0004684B"/>
    <w:rsid w:val="00056BC0"/>
    <w:rsid w:val="00066CB7"/>
    <w:rsid w:val="00066E34"/>
    <w:rsid w:val="00090FBC"/>
    <w:rsid w:val="000A0274"/>
    <w:rsid w:val="000C2331"/>
    <w:rsid w:val="00105122"/>
    <w:rsid w:val="00177B3E"/>
    <w:rsid w:val="00182B84"/>
    <w:rsid w:val="001A76F9"/>
    <w:rsid w:val="001C0997"/>
    <w:rsid w:val="001E5141"/>
    <w:rsid w:val="001F376B"/>
    <w:rsid w:val="00233AE0"/>
    <w:rsid w:val="002417E4"/>
    <w:rsid w:val="002526D8"/>
    <w:rsid w:val="00265FE4"/>
    <w:rsid w:val="002B3A3C"/>
    <w:rsid w:val="002B601E"/>
    <w:rsid w:val="002B7FED"/>
    <w:rsid w:val="003559C4"/>
    <w:rsid w:val="00390C39"/>
    <w:rsid w:val="003B4E3F"/>
    <w:rsid w:val="003F0EB1"/>
    <w:rsid w:val="00405366"/>
    <w:rsid w:val="0046733B"/>
    <w:rsid w:val="004910BE"/>
    <w:rsid w:val="004A4EF4"/>
    <w:rsid w:val="005554D0"/>
    <w:rsid w:val="005A48BF"/>
    <w:rsid w:val="005E1B7E"/>
    <w:rsid w:val="005F356C"/>
    <w:rsid w:val="00615520"/>
    <w:rsid w:val="0067026F"/>
    <w:rsid w:val="006714E8"/>
    <w:rsid w:val="006F11A3"/>
    <w:rsid w:val="0070710B"/>
    <w:rsid w:val="00754D58"/>
    <w:rsid w:val="00790AA6"/>
    <w:rsid w:val="007955E5"/>
    <w:rsid w:val="00795FE8"/>
    <w:rsid w:val="007A4FE6"/>
    <w:rsid w:val="007D47C7"/>
    <w:rsid w:val="007D4B88"/>
    <w:rsid w:val="00827EFC"/>
    <w:rsid w:val="00881DEC"/>
    <w:rsid w:val="00914CB6"/>
    <w:rsid w:val="0091620C"/>
    <w:rsid w:val="00953F1D"/>
    <w:rsid w:val="00960EEF"/>
    <w:rsid w:val="00976FD8"/>
    <w:rsid w:val="00977FCB"/>
    <w:rsid w:val="00987011"/>
    <w:rsid w:val="009B75CD"/>
    <w:rsid w:val="009D6D09"/>
    <w:rsid w:val="009E0B6A"/>
    <w:rsid w:val="009F2FE5"/>
    <w:rsid w:val="00A93C35"/>
    <w:rsid w:val="00AB384D"/>
    <w:rsid w:val="00AD1AD8"/>
    <w:rsid w:val="00AD3414"/>
    <w:rsid w:val="00B552A1"/>
    <w:rsid w:val="00B62CA0"/>
    <w:rsid w:val="00B91682"/>
    <w:rsid w:val="00BD18D1"/>
    <w:rsid w:val="00C74561"/>
    <w:rsid w:val="00CC0263"/>
    <w:rsid w:val="00CD504E"/>
    <w:rsid w:val="00D3748B"/>
    <w:rsid w:val="00D46C07"/>
    <w:rsid w:val="00D640F3"/>
    <w:rsid w:val="00D9664F"/>
    <w:rsid w:val="00DE32E9"/>
    <w:rsid w:val="00E030F6"/>
    <w:rsid w:val="00E400D2"/>
    <w:rsid w:val="00E57D9C"/>
    <w:rsid w:val="00E73998"/>
    <w:rsid w:val="00E91D3F"/>
    <w:rsid w:val="00E922FD"/>
    <w:rsid w:val="00EA490C"/>
    <w:rsid w:val="00EF6C37"/>
    <w:rsid w:val="00F50E14"/>
    <w:rsid w:val="00F85092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6DE8"/>
  <w15:docId w15:val="{0672C1A8-6E95-4787-9781-DA869C6A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3F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3F1D"/>
    <w:rPr>
      <w:sz w:val="20"/>
      <w:szCs w:val="20"/>
    </w:rPr>
  </w:style>
  <w:style w:type="character" w:customStyle="1" w:styleId="hps">
    <w:name w:val="hps"/>
    <w:rsid w:val="00953F1D"/>
  </w:style>
  <w:style w:type="character" w:styleId="Rimandocommento">
    <w:name w:val="annotation reference"/>
    <w:basedOn w:val="Carpredefinitoparagrafo"/>
    <w:uiPriority w:val="99"/>
    <w:semiHidden/>
    <w:unhideWhenUsed/>
    <w:rsid w:val="00960E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E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E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EEF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60E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18D1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2nU64xd2eitqJlYMyHMtazheBdc3KQoZx-x1qXmYF8VVT9A/viewform?usp=sf_li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ac.org/j2e-journey-to-excell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it/documents/european-skills-passport/language-passpor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ac.org/j2e-journey-to-excellence/" TargetMode="External"/><Relationship Id="rId1" Type="http://schemas.openxmlformats.org/officeDocument/2006/relationships/hyperlink" Target="http://enac.org/j2e-journey-to-excellenc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917B-8F11-4A4E-B5DB-F8E3A870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enac lombardia cfp canossa</cp:lastModifiedBy>
  <cp:revision>5</cp:revision>
  <cp:lastPrinted>2018-11-26T15:59:00Z</cp:lastPrinted>
  <dcterms:created xsi:type="dcterms:W3CDTF">2018-11-27T14:42:00Z</dcterms:created>
  <dcterms:modified xsi:type="dcterms:W3CDTF">2018-12-03T12:09:00Z</dcterms:modified>
</cp:coreProperties>
</file>